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9AF9D63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092EE0" w:rsidRPr="00092EE0">
        <w:rPr>
          <w:rFonts w:ascii="GHEA Grapalat" w:hAnsi="GHEA Grapalat"/>
          <w:sz w:val="22"/>
          <w:szCs w:val="22"/>
        </w:rPr>
        <w:t>21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B208D3">
        <w:rPr>
          <w:rFonts w:ascii="GHEA Grapalat" w:hAnsi="GHEA Grapalat"/>
          <w:sz w:val="22"/>
          <w:szCs w:val="22"/>
          <w:lang w:val="hy-AM"/>
        </w:rPr>
        <w:t>80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75AAE23" w14:textId="06F5F471" w:rsidR="00B208D3" w:rsidRPr="00B208D3" w:rsidRDefault="00B208D3" w:rsidP="00B208D3">
      <w:pPr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B208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ՀԱՄԱՅՆՔԻ ՍԵՓԱԿԱՆՈՒԹՅՈՒՆ ՀԱՆԴԻՍԱՑՈՂ ԳՈՒՅՔԸ ՄԱՆՎԵԼ ԱՎԱԳՅԱՆԻՆ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B208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ՈՒՂՂԱԿԻ ՎԱՃԱՌՔԻ ՁԵՎՈՎ ՕՏԱՐԵԼՈՒ ՄԱՍԻՆ</w:t>
      </w:r>
      <w:r w:rsidRPr="00B208D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7E434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br/>
      </w:r>
    </w:p>
    <w:p w14:paraId="05324DFB" w14:textId="77777777" w:rsidR="00B208D3" w:rsidRDefault="00B208D3" w:rsidP="00B208D3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</w:pP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Համաձայն Հողային օրենսգրքի 57-րդ և 66-րդ հոդվածների, «Քաղաքաշինության մասին» օրենքի 14</w:t>
      </w:r>
      <w:r w:rsidRPr="00B208D3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2006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կարգի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33.1-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, 34-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34.2-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, 35-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«դ»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«ե»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ենթակետերի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ընդուն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ելով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N 20022025-07-0105 սեփականության վկայականը,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32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38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բնակարան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Մանվել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Արսենի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Ավագյանի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2024 թվականի դեկտեմբերի 24-ի դիմումը՝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208D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CD72D5C" w14:textId="75E65379" w:rsidR="00B208D3" w:rsidRPr="00B208D3" w:rsidRDefault="00B208D3" w:rsidP="00B208D3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45F4088D" w14:textId="201D3921" w:rsidR="00B208D3" w:rsidRPr="00B208D3" w:rsidRDefault="00B208D3" w:rsidP="00B208D3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համայնք Բյուրեղավան քաղաք Բյուրեղավան Զորավար Անդրանիկի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32/1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20.1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39576,9 (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երեսունինը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հինգ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յոթանասունվեց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ինը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տասնորդական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0.00201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07-003-0020-1154)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89280,18 (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ութսունինը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երկու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ութսուն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տասնութ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հարյուրերորդական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օտարել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կառույցն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իրականացրած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Մանվել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Արսենի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Ավա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գյանին (ծնված՝ 1959 թվականի հոկտեմբերի 24-ին):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</w:p>
    <w:p w14:paraId="3DF8D2CD" w14:textId="67461236" w:rsidR="00B208D3" w:rsidRPr="00B208D3" w:rsidRDefault="00B208D3" w:rsidP="00B208D3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2. Սույն որոշման 1-ին կետում նշված գույքը դուրս գրել Բյուրեղավան համայնքի հաշվեկշռից: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</w:p>
    <w:p w14:paraId="2D62BB4E" w14:textId="77777777" w:rsidR="00B208D3" w:rsidRDefault="00B208D3" w:rsidP="00B208D3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3.Սահմանել, որ սույն որոշման 1-ին կետում նշված գույքի առուվաճառքի պայմանագրի վավերացման և գրանցման հետ կապված վճարները կատարվում է Մանվել Արսենի Ավագյանի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5C0E2937" w14:textId="02FE5DC2" w:rsidR="00B208D3" w:rsidRDefault="00B208D3" w:rsidP="00B208D3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4.Մանվել Արսենի Ավագյանը պարտավոր է Բյուրեղավանի համայնքապետարանի 900105202064 հաշվեհամարին վճարել 5000 (հինգ հազար) դրամ` հասցեի տրամադրման համար ծառայության վճար։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5.Հանձնարարել Բյուրեղավանի համայնքապետարանի աշխատակազմի գլխավոր մասնագետ Սարգիս Ժորայի Ղազարյանին (անձնագիր՝ AV 0661399, տրված` 2023 թվականի մարտի 03-ին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059-ի կողմից, ծնված՝ 1980 թվականի հոկտեմբերի 12-ին)` կատարել Կոտայքի մարզի Բյուրեղավան համայնքի սեփականություն համարվող քաղաք Բյուրեղավան Զորավար Անդրանիկի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32/1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20.1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0.00201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Անդրանիկ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ի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32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38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Մանվել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Արսենի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Ավագյանին</w:t>
      </w: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օտարելու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հետ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կապված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գործարքներ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կնքել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առուվաճառքի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208D3">
        <w:rPr>
          <w:rFonts w:ascii="GHEA Grapalat" w:eastAsia="Times New Roman" w:hAnsi="GHEA Grapalat" w:cs="GHEA Grapalat"/>
          <w:color w:val="000000"/>
          <w:lang w:val="hy-AM" w:eastAsia="ru-RU"/>
        </w:rPr>
        <w:t>պայմանագիր</w:t>
      </w: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17EE2EEA" w14:textId="2650001E" w:rsidR="00B208D3" w:rsidRPr="00B208D3" w:rsidRDefault="00B208D3" w:rsidP="00B208D3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278A8FC4" w14:textId="77777777" w:rsidR="00B208D3" w:rsidRPr="00B208D3" w:rsidRDefault="00B208D3" w:rsidP="00B208D3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208D3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62D80C4D" w14:textId="233B8083" w:rsidR="00706ED3" w:rsidRPr="007E4343" w:rsidRDefault="00B208D3" w:rsidP="007E4343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0C9649F5" w14:textId="02D085C3" w:rsidR="00ED5FE8" w:rsidRDefault="00843CEE" w:rsidP="00DA1083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7E4343">
        <w:rPr>
          <w:rFonts w:ascii="GHEA Grapalat" w:hAnsi="GHEA Grapalat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33C0A414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1D413E">
        <w:rPr>
          <w:rFonts w:ascii="GHEA Grapalat" w:hAnsi="GHEA Grapalat"/>
          <w:sz w:val="20"/>
          <w:szCs w:val="20"/>
          <w:lang w:val="hy-AM"/>
        </w:rPr>
        <w:t xml:space="preserve"> </w:t>
      </w:r>
      <w:r w:rsidR="00092EE0">
        <w:rPr>
          <w:rFonts w:ascii="GHEA Grapalat" w:hAnsi="GHEA Grapalat"/>
          <w:sz w:val="20"/>
          <w:szCs w:val="20"/>
          <w:lang w:val="hy-AM"/>
        </w:rPr>
        <w:t>21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7E4343">
      <w:pgSz w:w="11906" w:h="16838"/>
      <w:pgMar w:top="709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2EE0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343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08D3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A2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38OtsDJkZtIaMhTrKlqghPJz3xqYZF5M9eSOdhAXKTI=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crtU7C5tPQA9ENSpmpADDMr9dsKo5/3vn0J/ijB+vc0=</DigestValue>
    </Reference>
    <Reference Type="http://www.w3.org/2000/09/xmldsig#Object" URI="#idValidSigLnImg">
      <DigestMethod Algorithm="http://www.w3.org/2001/04/xmlenc#sha256"/>
      <DigestValue>gLv/VaqCOYngUq8NoUoSIFD9ey+K+YuR8U/79IlfE+0=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oP7JL7bE+bhITuwnOVjgMHQudjIhKIBvC/+0GTLXKhZDPWLQG21yn5/Ckk2i4O3Jb7HI2HWYur0f
9GDVaJ/fi7WzNa6UCr9Wgm2miCFm+bJrdYo4tZUgvV4RoEZ0jDcq3WWTiGFbwcqHHOKVg6mSPla5
QXRuCOcUQHRia/qriwixaf0eSUpk6OunnHA3CHkzCDkdplBrg4Q6ZibkuREQp0wHWEx1DPU2oJHW
AntJ4hF3pEPklWBSokngUfe4X1FMe2KRbRPC4s2SleMmmMJjB5E51ozm382uml7jPt+x30aist0f
NYqePK3DiDqNamfcjFF/WcqX1blpztXKgaCkDw==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Sz8sIZdsvxqe82qRlsBkprFor1s79lw98fLF2ZHHVaI=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s2t8Vw2ekQUm2G/dHW12+qehT5fyvqnu3siFF2eAbkA=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kWmWDkIFK20tN2Hu79bNmK8lenRsdnV4eKyCS/mj3og=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L5KfVl7O1OyVUjaAvXaKwlct87rIMC2VQBT9D/pqolc=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2025-02-21T12:39:08Z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2025-02-21T12:39:08Z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IAMQAvADIAMAAyADUA6l4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1E47-CD61-415C-9D63-6CCED2DD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2025-02-21T12:21:00Z</dcterms:created>
  <dcterms:modified xsi:type="dcterms:W3CDTF">2025-02-21T12:39:00Z</dcterms:modified>
</cp:coreProperties>
</file>