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CAC4" w14:textId="77777777" w:rsidR="00403A93" w:rsidRPr="00E93AED" w:rsidRDefault="00403A93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910BEA2" w14:textId="2F199E3A" w:rsidR="00403A93" w:rsidRDefault="00403A93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ՍԵՓԱԿԱՆՈՒԹՅԱՆ 20</w:t>
      </w:r>
      <w:r w:rsidR="00D1701A" w:rsidRPr="00D1701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21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10043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ԳՈՒՅՔԱԳՐՄԱՆ ՓԱՍՏԱԹՂԹԵՐԸ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ՀԱՍՏԱՏԵԼՈՒ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4369E4"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ԱՎԱԳԱՆՈՒ </w:t>
      </w: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14:paraId="126E403F" w14:textId="77777777" w:rsidR="00733F85" w:rsidRDefault="00733F85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AA359E0" w14:textId="14288F4F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Համաձայն Հայաստանի Հանրապետության Սահմանադրության 184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-ին մասի, հ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ինչպես նաև այլ գույքի նկատմամբ սեփականության իրավունք։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կարգավորումը իրացված է Հայաստանի Հանրապետության ներպետական օրենսդրության շրջանակներում, մասնավորապես՝ </w:t>
      </w:r>
      <w:r w:rsid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ՀՀ քաղաքացիական օրենսգրքում և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օրենքում:</w:t>
      </w:r>
    </w:p>
    <w:p w14:paraId="57BBA790" w14:textId="77777777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166-րդ հոդվածը սահմանում է սեփականության իրավունքի սուբյեկտների ցանկը, համաձայն որի, </w:t>
      </w:r>
      <w:r w:rsid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գ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ույքը կարող է գտնվել քաղաքացիների, իրավաբանական անձանց, ինչպես նաև Հայաստանի Հանրապետության կամ համայնքների սեփականության ներքո:</w:t>
      </w:r>
    </w:p>
    <w:p w14:paraId="55181A33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Համաձայն 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օրենքի 4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 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մասի՝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գույքի, ինչպես նաև գույքային այլ իրավունքների նկատմամբ սեփականության իրավունք։</w:t>
      </w:r>
    </w:p>
    <w:p w14:paraId="18B1FD08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Հայաստանի Հանրապետության Սահմանադրության 184-րդ հոդվածի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3-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րդ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մասի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կարգավորումների համատեքստում,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ամայնքի ավագանին օրենքով սահմանված կարգով տնօրինում է համայնքի սեփականությունը: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կարգավորման էությունը կայանում է նրանում, որ համայնքի ավագանին է սահմանում համայնքի սեփականություն հանդիսացող գույքի տիրապետման, օգտագործման և տնօրինման, մեկ բառով բնութագրելի՝ կառավարման հետ կապված պարտադիր վարքագծի կանոնները, որոնց հիման վրա համայնքի գործադիր մարմինը՝ համայնքի ղեկավարը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(համայնքապետարանի աշխատակազմի միջոցով)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կազմակերպում է համայնքի սեփականություն հանդիսացող գույքի տնօրինման վարչարարական և քաղաքացիաիրավական գործընթացները:</w:t>
      </w:r>
    </w:p>
    <w:p w14:paraId="7F44E1F6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Հարկ է նկատել, որ «Տեղական ինքնակառավարման մասին» ՀՀ օրենքի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-րդ հոդվածը սահմանում է համայնքի պարտադիր խնդիրների ցանկը, որոնց լուծմամբ ապահովում է համայնքի կայուն կենսագործումը: Օրենքով սահմանված համայնքի պարտադիր խնդիրների ցանկում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երրորդը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՝ համայնքի գույքի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կառավարումն է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Գույքի կառավարմանը միտված բազմաթիվ իրավակարգավորումներ են նախատեսված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 w:rsid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օրենքով, սակայն արժանահավատ է </w:t>
      </w:r>
      <w:r w:rsid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դիտարկել այդ կարգավորումներից մի քանիսը, որոնք</w:t>
      </w:r>
      <w:r w:rsidR="006D151D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ընկած են սույն հիմնավորման 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համար </w:t>
      </w:r>
      <w:r w:rsid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սկզբնաղբյուր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հանդիսացող ավագանու որոշման նախագծի ինստիտուցիոնալ հիմքերում:</w:t>
      </w:r>
    </w:p>
    <w:p w14:paraId="109D9434" w14:textId="70B62114" w:rsidR="006D2A00" w:rsidRDefault="006D2A00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Այսպես՝ «Տեղական ինքնակառավարման մասին» ՀՀ օրենքի 18-րդ հոդվածի 1-ին մասի 32-րդ կետի համաձայն, համայնքի ավագանին հաստատում է համայնքի սեփականության ամենամյա գույքագրման փաստաթղթերը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նույն օրենքի 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77-րդ հոդվածի 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կարգավորումների համատեքստում՝ </w:t>
      </w:r>
    </w:p>
    <w:p w14:paraId="084B4FDB" w14:textId="77777777" w:rsidR="006D2A00" w:rsidRPr="006D2A00" w:rsidRDefault="006D2A00" w:rsidP="00D62B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eastAsia="GHEA Grapalat"/>
          <w:lang w:val="hy-AM"/>
        </w:rPr>
      </w:pP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համայնքի սեփականություն հանդիսացող գույքը համայնքի ղեկավարը ենթարկում է ամենամյա պարտադիր գույքագրման, որը ներկայացվում է ավագանու հաստատմանը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</w:t>
      </w:r>
    </w:p>
    <w:p w14:paraId="4C8F82FF" w14:textId="4A6E97FC" w:rsidR="006D2A00" w:rsidRDefault="006D2A00" w:rsidP="00D62B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D2A00">
        <w:rPr>
          <w:rFonts w:ascii="GHEA Grapalat" w:eastAsia="GHEA Grapalat" w:hAnsi="GHEA Grapalat"/>
          <w:sz w:val="24"/>
          <w:szCs w:val="24"/>
          <w:lang w:val="hy-AM"/>
        </w:rPr>
        <w:t>Ամենամյա պարտադիր գույքագրման փաստաթղթերը ներկայացվում են ավագանու հաստատմանը:</w:t>
      </w:r>
    </w:p>
    <w:p w14:paraId="38A15BEF" w14:textId="77777777" w:rsidR="006D2A00" w:rsidRDefault="006D2A00" w:rsidP="00D62B9E">
      <w:pPr>
        <w:spacing w:after="0" w:line="360" w:lineRule="auto"/>
        <w:ind w:left="708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D2A00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Օրենսդրական վերը մեջբերված կարգավորումների շրջանակներում, համայնքի ղեկավարին վերապահված է պարտավորություն ամենամյա պարտադիր գույքագրում իրականացնելու տեսանկյունից, իսկ համայնքի ավագանու մասով՝ ամենամյա պարտադիր գույքագրման փաստաթղթերը հաստատելու մասով:</w:t>
      </w:r>
    </w:p>
    <w:p w14:paraId="0E85FF3B" w14:textId="27E97664" w:rsid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hAnsi="GHEA Grapalat"/>
          <w:b/>
          <w:i/>
          <w:sz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="00D62B9E" w:rsidRPr="00972BD6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>համայնքի սեփականության 20</w:t>
      </w:r>
      <w:r w:rsidR="00D1701A" w:rsidRPr="00D1701A">
        <w:rPr>
          <w:rFonts w:ascii="GHEA Grapalat" w:hAnsi="GHEA Grapalat"/>
          <w:sz w:val="24"/>
          <w:lang w:val="hy-AM"/>
        </w:rPr>
        <w:t>21</w:t>
      </w:r>
      <w:r w:rsidRPr="00A42C67">
        <w:rPr>
          <w:rFonts w:ascii="GHEA Grapalat" w:hAnsi="GHEA Grapalat"/>
          <w:sz w:val="24"/>
          <w:lang w:val="hy-AM"/>
        </w:rPr>
        <w:t xml:space="preserve"> թվականի գույքագրման փաստաթղթերը հաստատելու մասին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»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 xml:space="preserve">համայնքի ավագանու որոշման նախագծով սահմանվում են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թվով </w:t>
      </w:r>
      <w:r w:rsidR="00B76D5B"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>9</w:t>
      </w:r>
      <w:r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հավելվածներ, որոնք սահմանում են համայնքի սեփականություն հանդիսացող ինչպես գույքի, այնպես էլ իրերի, դրամի և պարտավորությունների գույքագրման օրինակելի ձևերը:</w:t>
      </w:r>
    </w:p>
    <w:p w14:paraId="459D3746" w14:textId="1D25F1F9" w:rsidR="00A42C67" w:rsidRPr="00D82861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նախագծի հավելվածներով սահմանվում են գույքագրման փաստաթղթերի </w:t>
      </w:r>
      <w:r w:rsidRPr="00D82861"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  <w:t>հետևյալ օրինակելի ձևերը.</w:t>
      </w:r>
    </w:p>
    <w:p w14:paraId="3B5E6527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պաշարների (ներառյալ փոքրարժեք կամ արագամաշ առարկաների) ցանկը.</w:t>
      </w:r>
    </w:p>
    <w:p w14:paraId="2F5B5226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</w:rPr>
        <w:t>Համայնքի հիմնական միջոցների ցանկը.</w:t>
      </w:r>
    </w:p>
    <w:p w14:paraId="7948B20B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ոչ նյութական ակտիվների ցանկը.</w:t>
      </w:r>
    </w:p>
    <w:p w14:paraId="41E68C12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վաճառքների գծով դեբիտորական պարտքերի և ստացման ենթակա այլ գումարների ցանկը.</w:t>
      </w:r>
    </w:p>
    <w:p w14:paraId="275931D5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lastRenderedPageBreak/>
        <w:t>Համայնքին մատակարարումների գծով կրեդիտորական պարտքերի և վճարման ենթակա այլ գումարների ցանկը.</w:t>
      </w:r>
    </w:p>
    <w:p w14:paraId="23D972C0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ՀՀ պետական բյուջեի հետ համայնքի հաշվարկների ցանկը.</w:t>
      </w:r>
    </w:p>
    <w:p w14:paraId="6813F655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կանխիկ դրամական միջոցների ցանկը.</w:t>
      </w:r>
    </w:p>
    <w:p w14:paraId="60DDF8C3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անկանխիկ դրամական միջոցների ցանկը.</w:t>
      </w:r>
    </w:p>
    <w:p w14:paraId="5D30C04B" w14:textId="5A7512E8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անշարժ և շարժական գույքի ընդհանուր նկարագրությունը</w:t>
      </w:r>
      <w:r w:rsidR="00C45C78" w:rsidRPr="00C45C78">
        <w:rPr>
          <w:rFonts w:ascii="GHEA Grapalat" w:hAnsi="GHEA Grapalat"/>
          <w:sz w:val="24"/>
          <w:szCs w:val="24"/>
          <w:lang w:val="hy-AM"/>
        </w:rPr>
        <w:t>:</w:t>
      </w:r>
    </w:p>
    <w:p w14:paraId="324DF68E" w14:textId="611FCEA4" w:rsidR="006C493F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արդյունքում, կապահովվի «Տեղական ինքնակառավարման մասին» ՀՀ օրենքի 18-րդ հոդվածի 1-ին մասի 32-րդ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կետով, 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ինչպես նաև նույն օրենքի 77-րդ հոդված</w:t>
      </w:r>
      <w:r w:rsidR="00C45C78" w:rsidRPr="00C45C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ով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սահմանված պահանջների իրականացումը ենթաօրենսդրական մակարդակում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3F88258" w14:textId="3013775E" w:rsidR="00A42C67" w:rsidRPr="005509B7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Միաժամանակ, իրավակիրառական պրակտիկայի տեսանկյունից,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 հնարավոր կլինի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ճշգրտելու և հստակեցնելու համայնքի սեփականություն հանդիսացող գույքի ընթացիկ հաշվառման տվյալները, ինչն իր հերթին լուրջ խթան կարող է հանդիսանալ համայնքի բյուջետային և զարգացման ռազմավարական պլանավորումներ առավել ճշգրիտ</w:t>
      </w:r>
      <w:r w:rsid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իրատեսական իրականացնելու համատեքստում:</w:t>
      </w:r>
    </w:p>
    <w:p w14:paraId="1FAD653A" w14:textId="77777777" w:rsidR="00A42C67" w:rsidRP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A113444" w14:textId="77777777" w:rsidR="00D62B9E" w:rsidRPr="00D62B9E" w:rsidRDefault="00D62B9E" w:rsidP="00D62B9E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10EF882" w14:textId="77777777" w:rsidR="00D62B9E" w:rsidRDefault="00D62B9E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6606AF8" w14:textId="3DF476E2" w:rsidR="00562E13" w:rsidRPr="00C45C78" w:rsidRDefault="00C45C78" w:rsidP="00C45C78">
      <w:pPr>
        <w:spacing w:after="0" w:line="240" w:lineRule="auto"/>
        <w:ind w:left="708" w:firstLine="708"/>
        <w:jc w:val="center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ՀԱՄԱՅՆՔԻ ՂԵԿԱՎԱՐ                                           Հ. ԲԱԼԱՍՅԱՆ</w:t>
      </w:r>
    </w:p>
    <w:p w14:paraId="0BF47A79" w14:textId="77777777" w:rsidR="00562E13" w:rsidRPr="00733F85" w:rsidRDefault="00562E13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D0B2749" w14:textId="77777777" w:rsidR="00733F85" w:rsidRPr="00733F85" w:rsidRDefault="00733F85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6FEEDF41" w14:textId="77777777" w:rsidR="00403A93" w:rsidRPr="00733F85" w:rsidRDefault="00403A93" w:rsidP="00733F85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9F7A23F" w14:textId="77777777" w:rsidR="00733F85" w:rsidRDefault="00733F85" w:rsidP="00733F85">
      <w:pPr>
        <w:pStyle w:val="ListParagraph"/>
        <w:spacing w:line="360" w:lineRule="auto"/>
        <w:ind w:left="708" w:firstLine="141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8186F" w14:textId="77777777" w:rsidR="00733F85" w:rsidRDefault="00733F85" w:rsidP="00733F85">
      <w:pPr>
        <w:pStyle w:val="ListParagraph"/>
        <w:spacing w:line="360" w:lineRule="auto"/>
        <w:ind w:left="708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9E66" w14:textId="77777777" w:rsidR="007F2A32" w:rsidRDefault="007F2A32" w:rsidP="001F6389">
      <w:pPr>
        <w:spacing w:after="0" w:line="240" w:lineRule="auto"/>
      </w:pPr>
      <w:r>
        <w:separator/>
      </w:r>
    </w:p>
  </w:endnote>
  <w:endnote w:type="continuationSeparator" w:id="0">
    <w:p w14:paraId="710FE707" w14:textId="77777777" w:rsidR="007F2A32" w:rsidRDefault="007F2A32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A0B2" w14:textId="77777777" w:rsidR="007F2A32" w:rsidRDefault="007F2A32" w:rsidP="001F6389">
      <w:pPr>
        <w:spacing w:after="0" w:line="240" w:lineRule="auto"/>
      </w:pPr>
      <w:r>
        <w:separator/>
      </w:r>
    </w:p>
  </w:footnote>
  <w:footnote w:type="continuationSeparator" w:id="0">
    <w:p w14:paraId="176141B3" w14:textId="77777777" w:rsidR="007F2A32" w:rsidRDefault="007F2A32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00353">
    <w:abstractNumId w:val="10"/>
  </w:num>
  <w:num w:numId="2" w16cid:durableId="1681853183">
    <w:abstractNumId w:val="6"/>
  </w:num>
  <w:num w:numId="3" w16cid:durableId="1787197406">
    <w:abstractNumId w:val="1"/>
  </w:num>
  <w:num w:numId="4" w16cid:durableId="434834023">
    <w:abstractNumId w:val="9"/>
  </w:num>
  <w:num w:numId="5" w16cid:durableId="568806390">
    <w:abstractNumId w:val="12"/>
  </w:num>
  <w:num w:numId="6" w16cid:durableId="1739739648">
    <w:abstractNumId w:val="15"/>
  </w:num>
  <w:num w:numId="7" w16cid:durableId="2009139937">
    <w:abstractNumId w:val="14"/>
  </w:num>
  <w:num w:numId="8" w16cid:durableId="1087078248">
    <w:abstractNumId w:val="16"/>
  </w:num>
  <w:num w:numId="9" w16cid:durableId="632978416">
    <w:abstractNumId w:val="7"/>
  </w:num>
  <w:num w:numId="10" w16cid:durableId="331875669">
    <w:abstractNumId w:val="11"/>
  </w:num>
  <w:num w:numId="11" w16cid:durableId="1975451924">
    <w:abstractNumId w:val="0"/>
  </w:num>
  <w:num w:numId="12" w16cid:durableId="1693339698">
    <w:abstractNumId w:val="3"/>
  </w:num>
  <w:num w:numId="13" w16cid:durableId="969093335">
    <w:abstractNumId w:val="4"/>
  </w:num>
  <w:num w:numId="14" w16cid:durableId="1382749214">
    <w:abstractNumId w:val="13"/>
  </w:num>
  <w:num w:numId="15" w16cid:durableId="456877399">
    <w:abstractNumId w:val="5"/>
  </w:num>
  <w:num w:numId="16" w16cid:durableId="1420326417">
    <w:abstractNumId w:val="2"/>
  </w:num>
  <w:num w:numId="17" w16cid:durableId="1514874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10B06"/>
    <w:rsid w:val="00014E8C"/>
    <w:rsid w:val="000220CF"/>
    <w:rsid w:val="00061026"/>
    <w:rsid w:val="0007442A"/>
    <w:rsid w:val="000824EE"/>
    <w:rsid w:val="000845DC"/>
    <w:rsid w:val="0008737F"/>
    <w:rsid w:val="000C1F6D"/>
    <w:rsid w:val="000C4A7D"/>
    <w:rsid w:val="000E58A8"/>
    <w:rsid w:val="000E58DB"/>
    <w:rsid w:val="00100438"/>
    <w:rsid w:val="00120F3D"/>
    <w:rsid w:val="00167B95"/>
    <w:rsid w:val="00171476"/>
    <w:rsid w:val="00173F19"/>
    <w:rsid w:val="00195062"/>
    <w:rsid w:val="001C430D"/>
    <w:rsid w:val="001E5BAB"/>
    <w:rsid w:val="001E75C7"/>
    <w:rsid w:val="001E7DD7"/>
    <w:rsid w:val="001F6389"/>
    <w:rsid w:val="0021353D"/>
    <w:rsid w:val="002142AE"/>
    <w:rsid w:val="0023764A"/>
    <w:rsid w:val="0024755E"/>
    <w:rsid w:val="00250082"/>
    <w:rsid w:val="0026077E"/>
    <w:rsid w:val="00292641"/>
    <w:rsid w:val="00295FED"/>
    <w:rsid w:val="002974F8"/>
    <w:rsid w:val="002A3B6B"/>
    <w:rsid w:val="002A53EB"/>
    <w:rsid w:val="002B7E24"/>
    <w:rsid w:val="002E0D02"/>
    <w:rsid w:val="002F0CFE"/>
    <w:rsid w:val="00306184"/>
    <w:rsid w:val="0031407E"/>
    <w:rsid w:val="00315CE6"/>
    <w:rsid w:val="00326828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3164B"/>
    <w:rsid w:val="004369E4"/>
    <w:rsid w:val="004379D5"/>
    <w:rsid w:val="00456E68"/>
    <w:rsid w:val="00456FB4"/>
    <w:rsid w:val="00460F92"/>
    <w:rsid w:val="0047365A"/>
    <w:rsid w:val="00475E92"/>
    <w:rsid w:val="00477E4F"/>
    <w:rsid w:val="00495112"/>
    <w:rsid w:val="004A0FCF"/>
    <w:rsid w:val="004A1689"/>
    <w:rsid w:val="004C1E7F"/>
    <w:rsid w:val="004D6AD7"/>
    <w:rsid w:val="004D76F0"/>
    <w:rsid w:val="004F6136"/>
    <w:rsid w:val="005068E5"/>
    <w:rsid w:val="00527AF3"/>
    <w:rsid w:val="00542886"/>
    <w:rsid w:val="005509B7"/>
    <w:rsid w:val="00552CE2"/>
    <w:rsid w:val="00562E13"/>
    <w:rsid w:val="00571B17"/>
    <w:rsid w:val="00577E34"/>
    <w:rsid w:val="00581D64"/>
    <w:rsid w:val="005B5ADF"/>
    <w:rsid w:val="005B5E10"/>
    <w:rsid w:val="005E07AF"/>
    <w:rsid w:val="00607F09"/>
    <w:rsid w:val="00617829"/>
    <w:rsid w:val="00623B03"/>
    <w:rsid w:val="00650147"/>
    <w:rsid w:val="00672D6D"/>
    <w:rsid w:val="00693EC2"/>
    <w:rsid w:val="006A146E"/>
    <w:rsid w:val="006A1D0F"/>
    <w:rsid w:val="006C493F"/>
    <w:rsid w:val="006D151D"/>
    <w:rsid w:val="006D1E32"/>
    <w:rsid w:val="006D2A00"/>
    <w:rsid w:val="00715411"/>
    <w:rsid w:val="0072363F"/>
    <w:rsid w:val="00723A8B"/>
    <w:rsid w:val="007316E7"/>
    <w:rsid w:val="00733F85"/>
    <w:rsid w:val="00746923"/>
    <w:rsid w:val="007579BE"/>
    <w:rsid w:val="00782F15"/>
    <w:rsid w:val="00786794"/>
    <w:rsid w:val="00794803"/>
    <w:rsid w:val="00797D6D"/>
    <w:rsid w:val="00797FA9"/>
    <w:rsid w:val="007A33FD"/>
    <w:rsid w:val="007B32C1"/>
    <w:rsid w:val="007C6F1D"/>
    <w:rsid w:val="007D759F"/>
    <w:rsid w:val="007F02E9"/>
    <w:rsid w:val="007F2A32"/>
    <w:rsid w:val="00810AC4"/>
    <w:rsid w:val="00811161"/>
    <w:rsid w:val="00827FD3"/>
    <w:rsid w:val="00853805"/>
    <w:rsid w:val="00872A0A"/>
    <w:rsid w:val="00887DEE"/>
    <w:rsid w:val="008966E7"/>
    <w:rsid w:val="008E3C6F"/>
    <w:rsid w:val="008F3388"/>
    <w:rsid w:val="00915B1E"/>
    <w:rsid w:val="00963403"/>
    <w:rsid w:val="00970134"/>
    <w:rsid w:val="00972BD6"/>
    <w:rsid w:val="0099619C"/>
    <w:rsid w:val="0099727D"/>
    <w:rsid w:val="009A59F6"/>
    <w:rsid w:val="009B70A5"/>
    <w:rsid w:val="009E1C8A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82B5D"/>
    <w:rsid w:val="00A91A7C"/>
    <w:rsid w:val="00A977DF"/>
    <w:rsid w:val="00AB6117"/>
    <w:rsid w:val="00AE4080"/>
    <w:rsid w:val="00B11210"/>
    <w:rsid w:val="00B124CC"/>
    <w:rsid w:val="00B16140"/>
    <w:rsid w:val="00B1645C"/>
    <w:rsid w:val="00B17E6C"/>
    <w:rsid w:val="00B216BF"/>
    <w:rsid w:val="00B3617E"/>
    <w:rsid w:val="00B4738D"/>
    <w:rsid w:val="00B56283"/>
    <w:rsid w:val="00B57B66"/>
    <w:rsid w:val="00B63458"/>
    <w:rsid w:val="00B72A03"/>
    <w:rsid w:val="00B76D5B"/>
    <w:rsid w:val="00B87FC1"/>
    <w:rsid w:val="00BC259A"/>
    <w:rsid w:val="00BC7BA1"/>
    <w:rsid w:val="00BF3487"/>
    <w:rsid w:val="00BF6282"/>
    <w:rsid w:val="00C015CB"/>
    <w:rsid w:val="00C11493"/>
    <w:rsid w:val="00C1740C"/>
    <w:rsid w:val="00C17A2E"/>
    <w:rsid w:val="00C45C78"/>
    <w:rsid w:val="00C62CA5"/>
    <w:rsid w:val="00C641D3"/>
    <w:rsid w:val="00C7138A"/>
    <w:rsid w:val="00C84905"/>
    <w:rsid w:val="00C900BF"/>
    <w:rsid w:val="00C90F42"/>
    <w:rsid w:val="00CB0377"/>
    <w:rsid w:val="00CB39B6"/>
    <w:rsid w:val="00CC20AC"/>
    <w:rsid w:val="00CE05AB"/>
    <w:rsid w:val="00D1701A"/>
    <w:rsid w:val="00D37929"/>
    <w:rsid w:val="00D44C21"/>
    <w:rsid w:val="00D62B9E"/>
    <w:rsid w:val="00D82861"/>
    <w:rsid w:val="00DA630B"/>
    <w:rsid w:val="00DC6B1C"/>
    <w:rsid w:val="00E028A4"/>
    <w:rsid w:val="00E10F50"/>
    <w:rsid w:val="00E13A42"/>
    <w:rsid w:val="00E13E2B"/>
    <w:rsid w:val="00E27639"/>
    <w:rsid w:val="00E276C7"/>
    <w:rsid w:val="00E91DF7"/>
    <w:rsid w:val="00E93AED"/>
    <w:rsid w:val="00EA770D"/>
    <w:rsid w:val="00ED278D"/>
    <w:rsid w:val="00ED5450"/>
    <w:rsid w:val="00EE211B"/>
    <w:rsid w:val="00EE66EB"/>
    <w:rsid w:val="00F03653"/>
    <w:rsid w:val="00F04CCF"/>
    <w:rsid w:val="00F06062"/>
    <w:rsid w:val="00F24448"/>
    <w:rsid w:val="00F34DB2"/>
    <w:rsid w:val="00F61965"/>
    <w:rsid w:val="00F63C09"/>
    <w:rsid w:val="00F712D8"/>
    <w:rsid w:val="00F8260C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D06A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B538-6BCD-49C2-B556-FFF28620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82</cp:revision>
  <cp:lastPrinted>2022-04-14T06:58:00Z</cp:lastPrinted>
  <dcterms:created xsi:type="dcterms:W3CDTF">2021-08-12T15:56:00Z</dcterms:created>
  <dcterms:modified xsi:type="dcterms:W3CDTF">2022-04-14T06:58:00Z</dcterms:modified>
</cp:coreProperties>
</file>