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2C543985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8B08A3" w:rsidRPr="008B08A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18 ԲՆԱԿԱՐԱՆԸ ԱԼՎԱՐԴ ՀԱՅԿԱԶԻ ԲԱԲԱԽԱՆՅԱՆԻՆ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BE6F76" w14:textId="15E7E9B4" w:rsidR="007441AC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>սիրել է Բյուրեղավան քաղաքի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4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>-</w:t>
      </w:r>
      <w:r w:rsidR="008B08A3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8B08A3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8B08A3" w:rsidRPr="004E55D1">
        <w:rPr>
          <w:rFonts w:ascii="GHEA Mariam" w:eastAsia="Times New Roman" w:hAnsi="GHEA Mariam" w:cs="GHEA Mariam"/>
          <w:lang w:val="hy-AM" w:eastAsia="en-US"/>
        </w:rPr>
        <w:t>հանրակացարա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 xml:space="preserve">ն 16 </w:t>
      </w:r>
      <w:r w:rsidR="008B08A3" w:rsidRPr="004E55D1">
        <w:rPr>
          <w:rFonts w:ascii="Calibri" w:eastAsia="Times New Roman" w:hAnsi="Calibri" w:cs="Calibri"/>
          <w:lang w:val="hy-AM" w:eastAsia="en-US"/>
        </w:rPr>
        <w:t> </w:t>
      </w:r>
      <w:r w:rsidR="008B08A3">
        <w:rPr>
          <w:rFonts w:ascii="GHEA Mariam" w:eastAsia="Times New Roman" w:hAnsi="GHEA Mariam" w:cs="GHEA Mariam"/>
          <w:lang w:val="hy-AM" w:eastAsia="en-US"/>
        </w:rPr>
        <w:t>սենյակ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>ի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(</w:t>
      </w:r>
      <w:r w:rsidR="006B76E4" w:rsidRPr="006B76E4">
        <w:rPr>
          <w:rFonts w:ascii="GHEA Mariam" w:eastAsia="Times New Roman" w:hAnsi="GHEA Mariam" w:cs="GHEA Mariam"/>
          <w:lang w:val="hy-AM" w:eastAsia="en-US"/>
        </w:rPr>
        <w:t>ն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>երկայիս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՝ 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 xml:space="preserve">Օղակաձև փողոց 50 շենք 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>18</w:t>
      </w:r>
      <w:r w:rsidR="008B08A3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>Ալվարդ Հայկազի Բաբախանյանի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8B08A3">
        <w:rPr>
          <w:rFonts w:ascii="GHEA Mariam" w:eastAsia="Times New Roman" w:hAnsi="GHEA Mariam" w:cs="Sylfaen"/>
          <w:lang w:val="hy-AM" w:eastAsia="en-US"/>
        </w:rPr>
        <w:br/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>հունիսի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1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>0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-ի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Օղակաձև փողոց 50 շենքի 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>18</w:t>
      </w:r>
      <w:r>
        <w:rPr>
          <w:rFonts w:ascii="GHEA Mariam" w:eastAsia="Times New Roman" w:hAnsi="GHEA Mariam" w:cs="Sylfaen"/>
          <w:lang w:val="hy-AM" w:eastAsia="en-US"/>
        </w:rPr>
        <w:t xml:space="preserve"> բնակարանը 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Ալվարդ Հայկազի Բաբախանյանին 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14:paraId="6A44ED81" w14:textId="77777777" w:rsidR="008B08A3" w:rsidRDefault="006B76E4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6B76E4">
        <w:rPr>
          <w:rFonts w:ascii="GHEA Mariam" w:eastAsia="Times New Roman" w:hAnsi="GHEA Mariam" w:cs="Sylfaen"/>
          <w:lang w:val="hy-AM" w:eastAsia="en-US"/>
        </w:rPr>
        <w:t>«Հայապակի» բաժնետիրական ընկերության կողմից տրված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Օրդերով 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>Բյուրեղավան քաղաքի 4-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EE02B4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>16</w:t>
      </w:r>
      <w:r w:rsidR="00EE02B4" w:rsidRPr="004E55D1">
        <w:rPr>
          <w:rFonts w:ascii="Calibri" w:eastAsia="Times New Roman" w:hAnsi="Calibri" w:cs="Calibri"/>
          <w:lang w:val="hy-AM" w:eastAsia="en-US"/>
        </w:rPr>
        <w:t> </w:t>
      </w:r>
      <w:r w:rsidR="00EE02B4">
        <w:rPr>
          <w:rFonts w:ascii="GHEA Mariam" w:eastAsia="Times New Roman" w:hAnsi="GHEA Mariam" w:cs="GHEA Mariam"/>
          <w:lang w:val="hy-AM" w:eastAsia="en-US"/>
        </w:rPr>
        <w:t>սենյակ</w:t>
      </w:r>
      <w:r w:rsidR="00EE02B4" w:rsidRPr="00EE02B4">
        <w:rPr>
          <w:rFonts w:ascii="GHEA Mariam" w:eastAsia="Times New Roman" w:hAnsi="GHEA Mariam" w:cs="GHEA Mariam"/>
          <w:lang w:val="hy-AM" w:eastAsia="en-US"/>
        </w:rPr>
        <w:t>ը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հատկացվել է 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>Ալվարդ Հայկազի Բաբախանյանին:</w:t>
      </w:r>
    </w:p>
    <w:p w14:paraId="1ECBCBD2" w14:textId="33429B4A" w:rsidR="00EE02B4" w:rsidRDefault="00EE02B4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EE02B4">
        <w:rPr>
          <w:rFonts w:ascii="GHEA Mariam" w:eastAsia="Times New Roman" w:hAnsi="GHEA Mariam" w:cs="Sylfaen"/>
          <w:lang w:val="hy-AM" w:eastAsia="en-US"/>
        </w:rPr>
        <w:t>Նա հաշվառված է և բնակվում է նշված հասցեում:</w:t>
      </w:r>
    </w:p>
    <w:p w14:paraId="7CC6CB85" w14:textId="77777777" w:rsidR="00B62C6D" w:rsidRDefault="003A51D6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 w:rsidRPr="0092225D">
        <w:rPr>
          <w:rFonts w:ascii="GHEA Mariam" w:hAnsi="GHEA Mariam" w:cs="Sylfaen"/>
          <w:sz w:val="22"/>
          <w:szCs w:val="22"/>
          <w:lang w:val="hy-AM"/>
        </w:rPr>
        <w:t>,</w:t>
      </w:r>
      <w:r w:rsidR="004E55D1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Քաղաքացիական օրենսգրքի 594-596-րդ հոդվածների</w:t>
      </w:r>
      <w:r w:rsidR="004E55D1" w:rsidRPr="004E55D1">
        <w:rPr>
          <w:rFonts w:ascii="GHEA Mariam" w:hAnsi="GHEA Mariam" w:cs="Sylfaen"/>
          <w:sz w:val="22"/>
          <w:szCs w:val="22"/>
          <w:lang w:val="hy-AM"/>
        </w:rPr>
        <w:t>`</w:t>
      </w:r>
    </w:p>
    <w:p w14:paraId="717A9C5C" w14:textId="77777777" w:rsidR="004E55D1" w:rsidRPr="004E55D1" w:rsidRDefault="004E55D1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/>
          <w:b/>
          <w:bCs/>
          <w:color w:val="000000"/>
          <w:sz w:val="22"/>
          <w:szCs w:val="22"/>
          <w:lang w:val="hy-AM"/>
        </w:rPr>
        <w:t>Հոդված 594. Նվիրատվության պայմանագիր</w:t>
      </w:r>
    </w:p>
    <w:p w14:paraId="07CD56C2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պայմանագրով մի կողմը (նվիրատուն) մյուս կողմի (նվիրառուի) սեփականությանն անհատույց հանձնում է կամ պարտավորվում է հանձնել գույք կա'մ իրեն, կա'մ 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</w:r>
    </w:p>
    <w:p w14:paraId="6B860227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lastRenderedPageBreak/>
        <w:t>Գույքի կամ իրավունքի հանդիպական հանձնման կամ հանդիպական պարտավորության առկայության դեպքում պայմանագիրը նվիրատվություն չի համարվում: Այդպիսի պայմանագրի նկատմամբ կիրառվում են սույն օրենսգրքի 306 հոդվածի 2-րդ կետով նախատեսված կանոնները:</w:t>
      </w:r>
    </w:p>
    <w:p w14:paraId="0F0D7C6B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Որևէ մեկին գույք կամ գույքային իրավունքներ անհատույց հանձնելու կամ որևէ մեկին գույքային պարտականությունից ազատելու խոստումը (նվիրատվության խոստումը) համարվում է նվիրատվության պայմանագիր և պարտավորեցնում է խոստացողին, եթե խոստումը տրվել է պատշաճ ձևով ու պարունակում է կոնկրետ անձին գույք կամ իրավունք ապագայում անհատույց հանձնելու կամ նրան գույքային պարտականությունից ազատելու մասին պարզ արտահայտված ցանկություն:</w:t>
      </w:r>
    </w:p>
    <w:p w14:paraId="136ADE3B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3. Իր ամբողջ գույքը կամ դրա մի մասը նվիրելու` առանց գույքի, իրավունքի կամ պարտականությունից ազատելու տեսքով նվիրատվության կոնկրետ առարկան նշելու խոստումը, առոչինչ է:</w:t>
      </w:r>
    </w:p>
    <w:p w14:paraId="05DC2A3F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4. Նվիրատուի մահից հետո նվիրառուին նվերի հանձնում նախատեսող պայմանագիրն առոչինչ է:</w:t>
      </w:r>
    </w:p>
    <w:p w14:paraId="6A4D57D3" w14:textId="77777777" w:rsid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Նման տեսակի նվիրատվության նկատմամբ կիրառվում են սույն օրենսգրքի` ժառանգման մասին կանոնները:</w:t>
      </w:r>
    </w:p>
    <w:p w14:paraId="342F288C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</w:t>
      </w:r>
      <w:r w:rsidRPr="004E55D1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595. Նվիրատվության պայմանագրի ձևը</w:t>
      </w:r>
    </w:p>
    <w:p w14:paraId="1033561C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bookmarkStart w:id="0" w:name="95109_83"/>
      <w:bookmarkEnd w:id="0"/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պայմանագիրը կնքվում է գրավոր:</w:t>
      </w:r>
    </w:p>
    <w:p w14:paraId="1C7B1C15" w14:textId="77777777" w:rsidR="004E55D1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Անշարժ գույքի նվիրատվության պայմանագիրը ենթակա է նոտարական վավերացման:</w:t>
      </w:r>
    </w:p>
    <w:p w14:paraId="39F1160A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 596. Անշարժ գույքի նվիրատվության պայմանագրով սեփականության իրավունքի փոխանցման պետական գրանցումը</w:t>
      </w:r>
    </w:p>
    <w:p w14:paraId="70E75140" w14:textId="77777777" w:rsidR="004E55D1" w:rsidRPr="00484C05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 w:cs="Sylfaen"/>
          <w:lang w:val="hy-AM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Անշարժ գույքի նվիրատվության պայմանագրով սեփականության իրավունքի փոխանցումը ենթակա է պետական գրանցման:</w:t>
      </w:r>
      <w:r w:rsidR="00484C05">
        <w:rPr>
          <w:rFonts w:ascii="GHEA Mariam" w:hAnsi="GHEA Mariam" w:cs="Sylfaen"/>
          <w:lang w:val="hy-AM"/>
        </w:rPr>
        <w:t>)</w:t>
      </w:r>
      <w:r w:rsidR="00484C05" w:rsidRPr="00484C05">
        <w:rPr>
          <w:rFonts w:ascii="GHEA Mariam" w:hAnsi="GHEA Mariam" w:cs="Sylfaen"/>
          <w:lang w:val="hy-AM"/>
        </w:rPr>
        <w:t xml:space="preserve"> և</w:t>
      </w:r>
    </w:p>
    <w:p w14:paraId="014D8BAE" w14:textId="0EB60ED0" w:rsidR="008B08A3" w:rsidRPr="008B08A3" w:rsidRDefault="008B08A3" w:rsidP="008B08A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B08A3">
        <w:rPr>
          <w:rFonts w:ascii="GHEA Mariam" w:hAnsi="GHEA Mariam" w:cs="Sylfaen"/>
          <w:sz w:val="22"/>
          <w:szCs w:val="22"/>
          <w:lang w:val="hy-AM"/>
        </w:rPr>
        <w:t xml:space="preserve">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Ալվարդ Հայկազի Բաբախանյանի դիմումը ավագանին որոշում է Հայաստանի Հանրապետության Կոտայքի մարզի Բյուրեղավան համայնքի սեփականություն համարվող Բյուրեղավան քաղաքի Օղակաձև փողոց </w:t>
      </w:r>
      <w:r>
        <w:rPr>
          <w:rFonts w:ascii="GHEA Mariam" w:hAnsi="GHEA Mariam" w:cs="Sylfaen"/>
          <w:sz w:val="22"/>
          <w:szCs w:val="22"/>
          <w:lang w:val="hy-AM"/>
        </w:rPr>
        <w:br/>
      </w:r>
      <w:r w:rsidRPr="008B08A3">
        <w:rPr>
          <w:rFonts w:ascii="GHEA Mariam" w:hAnsi="GHEA Mariam" w:cs="Sylfaen"/>
          <w:sz w:val="22"/>
          <w:szCs w:val="22"/>
          <w:lang w:val="hy-AM"/>
        </w:rPr>
        <w:t>50 շենքի 21.85 քմ ընդհանուր մակերեսով 18 բնակարանը (նախկին 4-րդ հանրակացարան 16 սենյակ) անհատույց օտարել (նվիրել) Ալվարդ Հայկազի Բաբախանյանին՝ ծնված 1953 թվականի հունիսի 01-ին և սահմանել, որ սույն որոշումից ծագող գույքային իրավունքների նոտարական ձևակերպման և պետական գրանցման հետ կապված վճարների ու տուրքերի վճարումը կատարվում է Ալվարդ Հայկազի Բաբախանյանի</w:t>
      </w:r>
      <w:r w:rsidRPr="008B08A3">
        <w:rPr>
          <w:rFonts w:ascii="Calibri" w:hAnsi="Calibri" w:cs="Calibri"/>
          <w:sz w:val="22"/>
          <w:szCs w:val="22"/>
          <w:lang w:val="hy-AM"/>
        </w:rPr>
        <w:t> </w:t>
      </w:r>
      <w:r w:rsidRPr="008B08A3">
        <w:rPr>
          <w:rFonts w:ascii="GHEA Mariam" w:hAnsi="GHEA Mariam" w:cs="GHEA Mariam"/>
          <w:sz w:val="22"/>
          <w:szCs w:val="22"/>
          <w:lang w:val="hy-AM"/>
        </w:rPr>
        <w:t>կողմից</w:t>
      </w:r>
      <w:r w:rsidRPr="008B08A3">
        <w:rPr>
          <w:rFonts w:ascii="GHEA Mariam" w:hAnsi="GHEA Mariam" w:cs="Sylfaen"/>
          <w:sz w:val="22"/>
          <w:szCs w:val="22"/>
          <w:lang w:val="hy-AM"/>
        </w:rPr>
        <w:t>:</w:t>
      </w:r>
    </w:p>
    <w:p w14:paraId="0E38D048" w14:textId="77777777" w:rsidR="008B08A3" w:rsidRDefault="008B08A3" w:rsidP="00D33494">
      <w:pPr>
        <w:rPr>
          <w:rFonts w:ascii="GHEA Mariam" w:hAnsi="GHEA Mariam" w:cs="Sylfaen"/>
          <w:lang w:val="hy-AM"/>
        </w:rPr>
      </w:pPr>
    </w:p>
    <w:p w14:paraId="7A085814" w14:textId="1D4C2BCB" w:rsidR="0092225D" w:rsidRPr="00D33494" w:rsidRDefault="00EE02B4" w:rsidP="00D33494">
      <w:pPr>
        <w:rPr>
          <w:rFonts w:ascii="GHEA Mariam" w:hAnsi="GHEA Mariam" w:cs="Sylfaen"/>
          <w:lang w:val="hy-AM"/>
        </w:rPr>
      </w:pPr>
      <w:r w:rsidRPr="008B08A3">
        <w:rPr>
          <w:rFonts w:ascii="GHEA Mariam" w:hAnsi="GHEA Mariam" w:cs="Sylfaen"/>
          <w:lang w:val="hy-AM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2D27DD9F" w14:textId="426D2CAC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8B08A3" w:rsidRPr="001950A9">
        <w:rPr>
          <w:rFonts w:ascii="GHEA Mariam" w:hAnsi="GHEA Mariam"/>
          <w:lang w:val="hy-AM"/>
        </w:rPr>
        <w:t xml:space="preserve">                                              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783DB14E" w:rsidR="005F6763" w:rsidRDefault="001950A9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B08A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18 ԲՆԱԿԱՐԱՆԸ ԱԼՎԱՐԴ ՀԱՅԿԱԶԻ ԲԱԲԱԽԱՆՅԱՆԻՆ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7794179D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>Բյուրեղավան քաղաքի Օղակաձև փողոց 50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1950A9" w:rsidRPr="001950A9">
        <w:rPr>
          <w:rFonts w:ascii="GHEA Mariam" w:hAnsi="GHEA Mariam" w:cs="Sylfaen"/>
          <w:lang w:val="hy-AM"/>
        </w:rPr>
        <w:t>18</w:t>
      </w:r>
      <w:r w:rsidR="007441AC" w:rsidRPr="007441AC">
        <w:rPr>
          <w:rFonts w:ascii="GHEA Mariam" w:hAnsi="GHEA Mariam" w:cs="Sylfaen"/>
          <w:lang w:val="hy-AM"/>
        </w:rPr>
        <w:t xml:space="preserve"> բնակարանը </w:t>
      </w:r>
      <w:r w:rsidR="001950A9" w:rsidRPr="001950A9">
        <w:rPr>
          <w:rFonts w:ascii="GHEA Mariam" w:hAnsi="GHEA Mariam" w:cs="Sylfaen"/>
          <w:lang w:val="hy-AM"/>
        </w:rPr>
        <w:t>Ալվարդ Հայկազի Բաբախանյանին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 w:rsidRPr="008B08A3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0958C685" w14:textId="77777777" w:rsidR="008B08A3" w:rsidRDefault="008B08A3" w:rsidP="008B08A3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D33494">
        <w:rPr>
          <w:rFonts w:ascii="GHEA Mariam" w:hAnsi="GHEA Mariam"/>
          <w:lang w:val="hy-AM"/>
        </w:rPr>
        <w:t xml:space="preserve">  </w:t>
      </w:r>
      <w:r w:rsidRPr="001950A9">
        <w:rPr>
          <w:rFonts w:ascii="GHEA Mariam" w:hAnsi="GHEA Mariam"/>
          <w:lang w:val="hy-AM"/>
        </w:rPr>
        <w:t xml:space="preserve">                                               </w:t>
      </w:r>
      <w:r w:rsidRPr="00D33494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2DC4932A" w14:textId="77777777" w:rsidR="008B08A3" w:rsidRDefault="008B08A3" w:rsidP="008B08A3">
      <w:pPr>
        <w:jc w:val="center"/>
        <w:rPr>
          <w:rFonts w:ascii="GHEA Mariam" w:hAnsi="GHEA Mariam"/>
          <w:b/>
          <w:lang w:val="hy-AM"/>
        </w:rPr>
      </w:pPr>
    </w:p>
    <w:p w14:paraId="4E10C1A3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EE02B4">
      <w:pgSz w:w="12240" w:h="15840"/>
      <w:pgMar w:top="426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02B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53</cp:revision>
  <cp:lastPrinted>2020-02-05T11:02:00Z</cp:lastPrinted>
  <dcterms:created xsi:type="dcterms:W3CDTF">2018-11-08T08:37:00Z</dcterms:created>
  <dcterms:modified xsi:type="dcterms:W3CDTF">2021-06-17T13:31:00Z</dcterms:modified>
</cp:coreProperties>
</file>