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368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8378D68" w14:textId="77777777" w:rsidR="00A02919" w:rsidRDefault="00A02919" w:rsidP="00A02919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մարտի ___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___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4CBB9F28" w14:textId="77777777" w:rsidR="00114306" w:rsidRPr="00A02919" w:rsidRDefault="00114306" w:rsidP="00A0291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54D5A316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22DE6FDD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4A764834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36BCC15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02520744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FED7B52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4A0B46E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75E69B34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36E74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390CB" w14:textId="77777777" w:rsidR="00114306" w:rsidRPr="00017A94" w:rsidRDefault="00A011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en-US"/>
              </w:rPr>
              <w:t>ում  մարզադպրոցի  կառուցում</w:t>
            </w:r>
          </w:p>
        </w:tc>
      </w:tr>
      <w:tr w:rsidR="00017A94" w:rsidRPr="00017A94" w14:paraId="128BB69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DD03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AC385" w14:textId="77777777" w:rsidR="00114306" w:rsidRPr="00017A94" w:rsidRDefault="00A011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4501A8D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E94AB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4830F" w14:textId="77777777" w:rsidR="00A01133" w:rsidRPr="00A4536F" w:rsidRDefault="00A01133" w:rsidP="00A01133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5D84A6D9" w14:textId="77777777" w:rsidR="00114306" w:rsidRPr="00146B73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37AC00C5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B77AC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D037E" w14:textId="77777777" w:rsidR="00114306" w:rsidRPr="00017A94" w:rsidRDefault="00A01133" w:rsidP="00A01133">
            <w:pPr>
              <w:spacing w:before="100" w:beforeAutospacing="1" w:after="100" w:afterAutospacing="1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A02919" w14:paraId="5683F209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A6531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F7FA9" w14:textId="77777777" w:rsidR="00D048D6" w:rsidRPr="00A4536F" w:rsidRDefault="00D048D6" w:rsidP="00D048D6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7A616775" w14:textId="77777777" w:rsidR="00D048D6" w:rsidRPr="00A4536F" w:rsidRDefault="00D048D6" w:rsidP="00D048D6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05CAF775" w14:textId="77777777" w:rsidR="00114306" w:rsidRPr="00A01133" w:rsidRDefault="00D048D6" w:rsidP="00D048D6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A01133" w14:paraId="1AE9791F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E91565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67A29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A01133" w14:paraId="4CFC6058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D8686A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A6F4B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555DC3A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08F07B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E505D" w14:textId="77777777" w:rsidR="00114306" w:rsidRPr="00017A94" w:rsidRDefault="00A01133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A02919" w14:paraId="6A3B102D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2866B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6DF8598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6B8FB05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համայնքի բնակչության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տոկոսը,</w:t>
            </w:r>
          </w:p>
          <w:p w14:paraId="026BDB4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7EC83A7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8A560" w14:textId="77777777" w:rsidR="00A01133" w:rsidRPr="007726CD" w:rsidRDefault="00A01133" w:rsidP="00A01133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496D4E3C" w14:textId="77777777" w:rsidR="00A01133" w:rsidRPr="0061427E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015F1F07" w14:textId="77777777" w:rsidR="00A01133" w:rsidRPr="0061427E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3936111B" w14:textId="77777777" w:rsidR="00114306" w:rsidRPr="00A01133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A02919" w14:paraId="31F73B80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E86BB5" w14:textId="77777777" w:rsidR="00114306" w:rsidRPr="00EE3529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E352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8E508" w14:textId="77777777" w:rsidR="00114306" w:rsidRPr="00462F7B" w:rsidRDefault="00860C13" w:rsidP="00B71D58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E352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  </w:t>
            </w:r>
            <w:r w:rsidR="00A01133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Բյուրեղավան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բնակավայրում  առկա է  </w:t>
            </w:r>
            <w:r w:rsidR="00A01133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մարզային ենթակայության մարզադպրոց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ուր հաճախում է 272 երեխա: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Նշենք</w:t>
            </w:r>
            <w:r w:rsidR="00FA4C75" w:rsidRPr="00FA4C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որ ստեղծման օրվանից մարզադպրոցը չունի շենքային պայմաններ և գործել է հարակից դպրոցի նկուղում և մարզադահլիճում: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Մարզադպրոցում գործում է ձյուդո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ի,սամբո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ի, բռնցքամարտի, ազատ ոճի ըմբշամարտի և ֆուտբոլի 23 խումբ: Մարզադպրոցը տվել է սամբո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 </w:t>
            </w:r>
            <w:r w:rsidR="00A01133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աշխարհի և եվրոպայի փոխչեմպիոններ,</w:t>
            </w:r>
            <w:r w:rsidR="00462F7B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եվրոպայի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րորդ մրցանակակիր, Հայաստանի բազմակի չեմպիոններ սամբո և ձյուդո մարզաձևերում: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Հաշվի առնելով Բյուրեղավանում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ձևավորված մարզական ավանդույթները, Հայաստանի պատիվը բարձր պահած մարզիկների առկայությունը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FA4C75" w:rsidRPr="00FA4C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ինչպես նաև սպորտի ու առողջ ապրելակերպի նկատմամբ հետաքրքրությունների աճի 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տենդենցը՝ անհրաժեշտություն է առաջացել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Բյուրեղավանում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 </w:t>
            </w:r>
            <w:r w:rsid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րզադպրոցի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կառուցման: Ծրագրի իրականացման խնդիրն է բնակավայրի երեխաներին ապահովել հասանելի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մարզական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կրթությամբ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B71D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նպաս</w:t>
            </w:r>
            <w:r w:rsidR="00B71D58" w:rsidRPr="00B71D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տե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լ հայրենական  սպորտի զարգացմանը: </w:t>
            </w:r>
          </w:p>
        </w:tc>
      </w:tr>
      <w:tr w:rsidR="00017A94" w:rsidRPr="00A02919" w14:paraId="3C85553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B25DEF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AA21E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իրականացումը Բյուրեղավան բնակավայրում կլուծի երեխաների մարզական կրթություն ստանալու խնդիրը, կնպաստի նրանց ֆիզիկական և մտավոր զարգացմանը, կնպաստի երեխաների միջև շփումների ձևավորմանը</w:t>
            </w:r>
            <w:r w:rsidR="00B71D58"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,սպորտի զարգացմանը:</w:t>
            </w:r>
          </w:p>
          <w:p w14:paraId="6DBA4252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</w:pPr>
            <w:r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«Տեղական ինքնակառավարման մասին»  օրենքի 12-րդ հոդվածի դրույթներից և  համայնքի հնգամյա զարգացման ծրագրի ռազմավարությունից: Ծրագրի իրականացման նպատակն է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Բյուրեղավան համայնքում ունենալ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մարզական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ուսումնական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հաստատության շենք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մեծացնել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երեխաների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մարզական 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կրթություն ստանալու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հնարավորությունը, ինչպես նաև համայնքի բնակիչների համար ստեղծել պայմաններ տեղում լրացնելու իրենց ֆիզիկական մարզման կարիքները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:</w:t>
            </w:r>
          </w:p>
          <w:p w14:paraId="1D8F3382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Ծրագրի իրականացման արդյունքում 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մարզադպրոց հաճախող երեխաները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կունենան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սպորտով զբաղվելու ավելի արդիական պայմաններ, ինչը կնպաստի արդյունքների բարելավմանը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: 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</w:p>
          <w:p w14:paraId="19B7D579" w14:textId="77777777" w:rsidR="00114306" w:rsidRPr="003B0EFB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A02919" w14:paraId="33962CF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237CD7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93E18" w14:textId="77777777" w:rsidR="000E3CD8" w:rsidRPr="00017A94" w:rsidRDefault="000E3CD8" w:rsidP="000E3CD8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Նոր կառուցվող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</w:t>
            </w:r>
            <w:r w:rsidRPr="003B0E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րզադպրոց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տեխնիկական բնութագրի կազմում,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904D0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</w:r>
          </w:p>
          <w:p w14:paraId="744FC71A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A02919" w14:paraId="6514378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4848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0C84F" w14:textId="77777777" w:rsidR="00AA1B51" w:rsidRPr="001B76BC" w:rsidRDefault="00AA1B51" w:rsidP="00AA1B5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Մանկապարտեզի շենքը 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Շենքը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49E158B0" w14:textId="77777777" w:rsidR="00114306" w:rsidRPr="00017A94" w:rsidRDefault="00AA1B51" w:rsidP="00AA1B5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A02919" w14:paraId="6F6ECC19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A3C70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666B3" w14:textId="77777777" w:rsidR="00114306" w:rsidRPr="00482FE6" w:rsidRDefault="00AA1B51" w:rsidP="00482FE6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շահառուների թիվը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272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-ն է: Ծրագրի իրականացման արդյունքում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երեխաների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համար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կստեղծվի նորմալ պայմաններ սպորտային կրթություն ստանալու համար</w:t>
            </w:r>
            <w:r w:rsidR="00482FE6" w:rsidRPr="00482F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Շահառուները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482FE6" w:rsidRPr="00482F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կունենան նորակառույց մարզադպրոց, հադեցած անհրաժեշտ մարզագույքով:</w:t>
            </w:r>
            <w:r w:rsidR="00482FE6" w:rsidRPr="00482FE6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</w:tr>
      <w:tr w:rsidR="00017A94" w:rsidRPr="00A02919" w14:paraId="362BAECF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98CA94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04E07" w14:textId="77777777" w:rsidR="00482FE6" w:rsidRPr="00D54090" w:rsidRDefault="00482FE6" w:rsidP="00482FE6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3B0E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  <w:p w14:paraId="68DE6092" w14:textId="77777777" w:rsidR="00114306" w:rsidRPr="00482FE6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3B0EFB" w:rsidRPr="00017A94" w14:paraId="057B090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DE1902" w14:textId="77777777" w:rsidR="003B0EFB" w:rsidRPr="00D048D6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048D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24B74" w14:textId="77777777" w:rsidR="003B0EFB" w:rsidRPr="00212ECA" w:rsidRDefault="003B0EFB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3B0EFB" w:rsidRPr="00212ECA" w14:paraId="3818FE6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55FE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E0F8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A7186C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0A14F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3B0EFB" w:rsidRPr="00212ECA" w14:paraId="64A6119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4CA27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C0300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BDFC2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3D74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3B0EFB" w:rsidRPr="00212ECA" w14:paraId="5BC2409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E8512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3DB35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D47A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2FC3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3B0EFB" w:rsidRPr="00212ECA" w14:paraId="7AB5CE4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5AC30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B8F8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DB23E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BAE9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3B0EFB" w:rsidRPr="00212ECA" w14:paraId="620654F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7E9A4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AFCB0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0CCA0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00D9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3B0EFB" w:rsidRPr="00212ECA" w14:paraId="1168934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64BE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B351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0681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6A8D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3B0EFB" w:rsidRPr="00212ECA" w14:paraId="60FED39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5F934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642DD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0059C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3E5AD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3B0EFB" w:rsidRPr="00212ECA" w14:paraId="20628A0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76AF2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E96C3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A904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ED58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3B0EFB" w:rsidRPr="00212ECA" w14:paraId="18B230D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66DF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C639E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85FB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6C883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B0EFB" w:rsidRPr="00A00FDB" w14:paraId="62B6192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08B547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1F10F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C0D4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66CB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B0EFB" w:rsidRPr="00A00FDB" w14:paraId="197EC15E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FB120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6B0F2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17F85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5F32B" w14:textId="77777777" w:rsidR="003B0EFB" w:rsidRPr="00A00FDB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3B0EFB" w:rsidRPr="00A00FDB" w14:paraId="7DFCA73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CF9A8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278F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36D0B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2503B" w14:textId="77777777" w:rsidR="003B0EFB" w:rsidRPr="00A00FDB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60A7191B" w14:textId="77777777" w:rsidR="003B0EFB" w:rsidRPr="00A00FDB" w:rsidRDefault="003B0EFB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B0EFB" w:rsidRPr="00017A94" w14:paraId="77CE9465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166B25" w14:textId="77777777" w:rsidR="003B0EFB" w:rsidRPr="00017A94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95237" w14:textId="77777777" w:rsidR="003B0EFB" w:rsidRPr="00093BAD" w:rsidRDefault="003B0EFB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3B0EFB" w:rsidRPr="00093BAD" w14:paraId="0FCE16B9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3F7C6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F54112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3B0EFB" w:rsidRPr="00D54090" w14:paraId="2740D002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4A801C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1A842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3B0EFB" w:rsidRPr="00D54090" w14:paraId="3B10664D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8A315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54BF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3B0EFB" w:rsidRPr="00D54090" w14:paraId="257A220D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15F73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27C9EC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3B0EFB" w:rsidRPr="00D54090" w14:paraId="60F51715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7912DB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53600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52855AB1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3B0EFB" w:rsidRPr="00D54090" w14:paraId="2E7B63B0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37837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7ABED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3B0EFB" w:rsidRPr="00D54090" w14:paraId="1A8C97F5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C2071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65702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3B0EFB" w:rsidRPr="00D54090" w14:paraId="2DC447A2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E5B49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0CBB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B0EFB" w:rsidRPr="00D54090" w14:paraId="0090A9A7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CDA02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4557E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B0EFB" w:rsidRPr="00D54090" w14:paraId="02A0816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92E34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E661E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3B0EFB" w:rsidRPr="00D54090" w14:paraId="5379847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91844A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D015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3B0EFB" w:rsidRPr="00D54090" w14:paraId="5A870603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C31A8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9E51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3B0EFB" w:rsidRPr="00D54090" w14:paraId="3B26CFD4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E8CB1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80F7C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3B0EFB" w:rsidRPr="00D54090" w14:paraId="15AA7C2C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FD24E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33CF75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3B0EFB" w:rsidRPr="00D54090" w14:paraId="6A8DA230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A4E18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2CBB5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3B0EFB" w:rsidRPr="00D54090" w14:paraId="0E4EE9F2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3F78F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D06E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3B0EFB" w:rsidRPr="00D54090" w14:paraId="7F6120E7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19F77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FF54B3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3B0EFB" w:rsidRPr="00D54090" w14:paraId="31BEC49E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841DE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3B68B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B0EFB" w:rsidRPr="00D54090" w14:paraId="7DB8248B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9BE3B" w14:textId="77777777" w:rsidR="003B0EFB" w:rsidRPr="00371A8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3DFA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3B0EFB" w:rsidRPr="00D54090" w14:paraId="3F6DECE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ED3A5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EA3130" w14:textId="77777777" w:rsidR="003B0EFB" w:rsidRPr="00D54090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3B0EFB" w:rsidRPr="00D54090" w14:paraId="6255E8A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256A0C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2474A" w14:textId="77777777" w:rsidR="003B0EFB" w:rsidRPr="00D54090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14CC2C5C" w14:textId="77777777" w:rsidR="003B0EFB" w:rsidRPr="00093BAD" w:rsidRDefault="003B0EFB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B0EFB" w:rsidRPr="00FA4C75" w14:paraId="321606C3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1FD1C3" w14:textId="77777777" w:rsidR="003B0EFB" w:rsidRPr="00017A94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F1569" w14:textId="77777777" w:rsidR="00FA4C75" w:rsidRPr="00A02919" w:rsidRDefault="003B0EFB" w:rsidP="00C27E1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23A52261" w14:textId="77777777" w:rsidR="003B0EFB" w:rsidRPr="00A02919" w:rsidRDefault="003B0EFB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A02919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A02919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A02919">
              <w:rPr>
                <w:rFonts w:ascii="GHEA Grapalat" w:hAnsi="GHEA Grapalat"/>
                <w:b/>
                <w:i/>
              </w:rPr>
              <w:t>:</w:t>
            </w:r>
          </w:p>
          <w:p w14:paraId="1124B6C9" w14:textId="77777777" w:rsidR="003B0EFB" w:rsidRPr="00A02919" w:rsidRDefault="003B0EFB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488504CD" w14:textId="77777777" w:rsidR="003B0EFB" w:rsidRPr="00A02919" w:rsidRDefault="003B0EFB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EE3529" w14:paraId="740B977D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0E3BF6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471F0D08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0D43BC62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7A9EB239" w14:textId="77777777" w:rsidR="00EC1382" w:rsidRPr="00017A94" w:rsidRDefault="00EC1382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35281E82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_________ դրամ,</w:t>
            </w:r>
          </w:p>
          <w:p w14:paraId="5F2726FC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  <w:r w:rsidR="008E5571" w:rsidRPr="008E5571">
              <w:rPr>
                <w:rFonts w:ascii="GHEA Grapalat" w:eastAsia="Times New Roman" w:hAnsi="GHEA Grapalat" w:cs="Times New Roman"/>
                <w:lang w:val="hy-AM" w:eastAsia="ru-RU"/>
              </w:rPr>
              <w:t xml:space="preserve">                          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7C0F6F81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77359F85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5B4AA" w14:textId="77777777" w:rsidR="00EC1382" w:rsidRPr="00146B73" w:rsidRDefault="00482FE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lastRenderedPageBreak/>
              <w:t>200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2A60C7A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DD75E9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2A542D9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A6664F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53CCA9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83437B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649C71D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27686B65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BECBC95" w14:textId="77777777" w:rsidR="00EC1382" w:rsidRPr="00017A94" w:rsidRDefault="00EC1382" w:rsidP="009B21F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9B21F2" w14:paraId="3AD5172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BF7DE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D4175" w14:textId="77777777" w:rsidR="00114306" w:rsidRPr="009B21F2" w:rsidRDefault="009B21F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130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65</w:t>
            </w:r>
            <w:r w:rsidR="00114306" w:rsidRPr="009B21F2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9B21F2" w14:paraId="006D02B2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E6BB98" w14:textId="77777777" w:rsidR="00114306" w:rsidRPr="009B21F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B21F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76A11" w14:textId="77777777" w:rsidR="00146B73" w:rsidRPr="009B21F2" w:rsidRDefault="00146B73" w:rsidP="009B21F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A02919" w14:paraId="69C9D19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0D0528" w14:textId="77777777" w:rsidR="00114306" w:rsidRPr="009B21F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B21F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BCCF7" w14:textId="77777777" w:rsidR="008E5571" w:rsidRPr="0061427E" w:rsidRDefault="008E5571" w:rsidP="008E5571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8E557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5D42E14B" w14:textId="77777777" w:rsidR="00114306" w:rsidRPr="008E5571" w:rsidRDefault="008E5571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75738B7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7B45E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6A9C1" w14:textId="77777777" w:rsidR="008E5571" w:rsidRPr="00A4536F" w:rsidRDefault="008E5571" w:rsidP="008E5571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  <w:p w14:paraId="7E1B3956" w14:textId="77777777" w:rsidR="00114306" w:rsidRPr="00146B73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107BC67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BAD59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991D" w14:textId="77777777" w:rsidR="00114306" w:rsidRPr="00017A94" w:rsidRDefault="008E557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FA4C7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777A0118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E890090" w14:textId="77777777" w:rsidR="008E5571" w:rsidRPr="00A4536F" w:rsidRDefault="008E5571" w:rsidP="008E55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08E75E1F" w14:textId="77777777" w:rsidR="008E5571" w:rsidRPr="00A4536F" w:rsidRDefault="008E5571" w:rsidP="008E5571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2F127B84" w14:textId="77777777" w:rsidR="008E5571" w:rsidRPr="00A4536F" w:rsidRDefault="008E5571" w:rsidP="008E5571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73194FE4" w14:textId="77777777" w:rsidR="008E5571" w:rsidRPr="00A4536F" w:rsidRDefault="008E5571" w:rsidP="008E5571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2D1ACEF9" w14:textId="77777777" w:rsidR="008E5571" w:rsidRPr="00A4536F" w:rsidRDefault="008E5571" w:rsidP="008E5571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7882E4B8" w14:textId="77777777" w:rsidR="008E5571" w:rsidRPr="00A4536F" w:rsidRDefault="008E5571" w:rsidP="008E5571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508D64DF" w14:textId="77777777" w:rsidR="008E5571" w:rsidRPr="00A4536F" w:rsidRDefault="008E5571" w:rsidP="008E5571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5B63ACEE" w14:textId="77777777" w:rsidR="008E5571" w:rsidRPr="00A4536F" w:rsidRDefault="008E5571" w:rsidP="008E5571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19EE1236" w14:textId="77777777" w:rsidR="00114306" w:rsidRPr="00114306" w:rsidRDefault="00114306" w:rsidP="008E557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0A7281"/>
    <w:rsid w:val="000E3CD8"/>
    <w:rsid w:val="001049BC"/>
    <w:rsid w:val="00114306"/>
    <w:rsid w:val="00146B73"/>
    <w:rsid w:val="002C4822"/>
    <w:rsid w:val="003B0EFB"/>
    <w:rsid w:val="00401ADB"/>
    <w:rsid w:val="00420F5E"/>
    <w:rsid w:val="00424FDB"/>
    <w:rsid w:val="00462F7B"/>
    <w:rsid w:val="00482FE6"/>
    <w:rsid w:val="004E48D1"/>
    <w:rsid w:val="005C0E29"/>
    <w:rsid w:val="005F7856"/>
    <w:rsid w:val="006420D8"/>
    <w:rsid w:val="00830264"/>
    <w:rsid w:val="00860C13"/>
    <w:rsid w:val="008E5571"/>
    <w:rsid w:val="00994B66"/>
    <w:rsid w:val="009B21F2"/>
    <w:rsid w:val="00A01133"/>
    <w:rsid w:val="00A02919"/>
    <w:rsid w:val="00A54A15"/>
    <w:rsid w:val="00AA1B51"/>
    <w:rsid w:val="00AB7D2A"/>
    <w:rsid w:val="00B71D58"/>
    <w:rsid w:val="00B9174D"/>
    <w:rsid w:val="00D048D6"/>
    <w:rsid w:val="00D9708C"/>
    <w:rsid w:val="00EA100C"/>
    <w:rsid w:val="00EC1382"/>
    <w:rsid w:val="00EE3529"/>
    <w:rsid w:val="00F5138C"/>
    <w:rsid w:val="00FA4C7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E34"/>
  <w15:docId w15:val="{1415EA20-3F87-4B03-8265-B77594B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8E5571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A029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13</cp:revision>
  <dcterms:created xsi:type="dcterms:W3CDTF">2022-01-18T05:36:00Z</dcterms:created>
  <dcterms:modified xsi:type="dcterms:W3CDTF">2022-02-25T13:56:00Z</dcterms:modified>
</cp:coreProperties>
</file>