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BD34" w14:textId="77777777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Sylfaen"/>
          <w:b/>
          <w:bCs/>
          <w:color w:val="000000"/>
          <w:sz w:val="20"/>
          <w:szCs w:val="20"/>
        </w:rPr>
        <w:t xml:space="preserve">Հավելված </w:t>
      </w:r>
    </w:p>
    <w:p w14:paraId="2E1939CD" w14:textId="77777777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Sylfaen"/>
          <w:color w:val="000000"/>
          <w:sz w:val="20"/>
          <w:szCs w:val="20"/>
        </w:rPr>
        <w:t>Բյուրեղավան համայնքի ավագանու</w:t>
      </w:r>
    </w:p>
    <w:p w14:paraId="18CB3302" w14:textId="5A119388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Arial LatArm"/>
          <w:color w:val="000000"/>
          <w:sz w:val="20"/>
          <w:szCs w:val="20"/>
        </w:rPr>
        <w:t xml:space="preserve">                                                          2025 </w:t>
      </w:r>
      <w:r>
        <w:rPr>
          <w:rFonts w:ascii="GHEA Mariam" w:hAnsi="GHEA Mariam" w:cs="Sylfaen"/>
          <w:color w:val="000000"/>
          <w:sz w:val="20"/>
          <w:szCs w:val="20"/>
        </w:rPr>
        <w:t>թվականի օգոստոսի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 </w:t>
      </w:r>
      <w:r w:rsidR="00A87148" w:rsidRPr="00A87148">
        <w:rPr>
          <w:rFonts w:ascii="GHEA Mariam" w:hAnsi="GHEA Mariam" w:cs="Arial LatArm"/>
          <w:color w:val="000000"/>
          <w:sz w:val="20"/>
          <w:szCs w:val="20"/>
        </w:rPr>
        <w:t>28</w:t>
      </w:r>
      <w:r>
        <w:rPr>
          <w:rFonts w:ascii="GHEA Mariam" w:hAnsi="GHEA Mariam" w:cs="Arial LatArm"/>
          <w:color w:val="000000"/>
          <w:sz w:val="20"/>
          <w:szCs w:val="20"/>
        </w:rPr>
        <w:t>-</w:t>
      </w:r>
      <w:r>
        <w:rPr>
          <w:rFonts w:ascii="GHEA Mariam" w:hAnsi="GHEA Mariam" w:cs="Sylfaen"/>
          <w:color w:val="000000"/>
          <w:sz w:val="20"/>
          <w:szCs w:val="20"/>
        </w:rPr>
        <w:t>ի</w:t>
      </w:r>
      <w:r w:rsidR="00A87148" w:rsidRPr="00A87148">
        <w:rPr>
          <w:rFonts w:ascii="GHEA Mariam" w:hAnsi="GHEA Mariam" w:cs="Arial LatArm"/>
          <w:color w:val="000000"/>
          <w:sz w:val="20"/>
          <w:szCs w:val="20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</w:rPr>
        <w:t>N</w:t>
      </w:r>
      <w:r w:rsidR="00A87148" w:rsidRPr="00A87148">
        <w:rPr>
          <w:rFonts w:ascii="GHEA Mariam" w:hAnsi="GHEA Mariam" w:cs="Arial LatArm"/>
          <w:color w:val="000000"/>
          <w:sz w:val="20"/>
          <w:szCs w:val="20"/>
        </w:rPr>
        <w:t xml:space="preserve"> 41</w:t>
      </w:r>
      <w:r>
        <w:rPr>
          <w:rFonts w:ascii="GHEA Mariam" w:hAnsi="GHEA Mariam" w:cs="Arial LatArm"/>
          <w:color w:val="000000"/>
          <w:sz w:val="20"/>
          <w:szCs w:val="20"/>
        </w:rPr>
        <w:t>-</w:t>
      </w:r>
      <w:r>
        <w:rPr>
          <w:rFonts w:ascii="GHEA Mariam" w:hAnsi="GHEA Mariam" w:cs="Sylfaen"/>
          <w:color w:val="000000"/>
          <w:sz w:val="20"/>
          <w:szCs w:val="20"/>
        </w:rPr>
        <w:t>Ա որոշման</w:t>
      </w:r>
    </w:p>
    <w:p w14:paraId="2968BF8C" w14:textId="4D6DA27E" w:rsidR="000F442B" w:rsidRDefault="000F442B" w:rsidP="000F442B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15"/>
          <w:lang w:eastAsia="ru-RU"/>
        </w:rPr>
      </w:pPr>
    </w:p>
    <w:p w14:paraId="01FF9CA9" w14:textId="77777777" w:rsidR="00961D72" w:rsidRDefault="00961D72" w:rsidP="000F442B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15"/>
          <w:lang w:eastAsia="ru-RU"/>
        </w:rPr>
      </w:pPr>
    </w:p>
    <w:p w14:paraId="0BB13B47" w14:textId="178D268A" w:rsidR="000F442B" w:rsidRPr="00961D72" w:rsidRDefault="007932C0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14:ligatures w14:val="standardContextual"/>
        </w:rPr>
      </w:pPr>
      <w:r w:rsidRPr="000F442B">
        <w:rPr>
          <w:rFonts w:ascii="Calibri" w:eastAsia="Times New Roman" w:hAnsi="Calibri" w:cs="Calibri"/>
          <w:sz w:val="20"/>
          <w:szCs w:val="20"/>
          <w:lang w:val="en-US"/>
        </w:rPr>
        <w:t> </w:t>
      </w:r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Հավելված</w:t>
      </w:r>
      <w:r w:rsidR="000F442B"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N</w:t>
      </w:r>
      <w:r w:rsidR="000F442B"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3</w:t>
      </w:r>
    </w:p>
    <w:p w14:paraId="293BCCCA" w14:textId="77777777" w:rsidR="000F442B" w:rsidRPr="00961D72" w:rsidRDefault="000F442B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14:ligatures w14:val="standardContextual"/>
        </w:rPr>
      </w:pP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ՀՀ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կառավարության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2006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թվականի</w:t>
      </w:r>
    </w:p>
    <w:p w14:paraId="770D112D" w14:textId="37095170" w:rsidR="007932C0" w:rsidRPr="00961D72" w:rsidRDefault="000F442B" w:rsidP="000F442B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նոյեմբերի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16-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ի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N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1708-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որոշման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br/>
      </w:r>
    </w:p>
    <w:p w14:paraId="4B58EF5F" w14:textId="77777777" w:rsidR="007932C0" w:rsidRPr="00961D72" w:rsidRDefault="007932C0" w:rsidP="007932C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u w:val="single"/>
        </w:rPr>
      </w:pPr>
      <w:r w:rsidRPr="000F442B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en-US"/>
        </w:rPr>
        <w:t>Ձև</w:t>
      </w:r>
    </w:p>
    <w:p w14:paraId="2DE3EB73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1BCC6FC0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Ա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Յ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Տ</w:t>
      </w:r>
    </w:p>
    <w:p w14:paraId="0CE7CB7B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3375E009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Հայաստանի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Հանրապետության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համայնքների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տնտեսական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և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սոցիալական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ենթակառուցվածքների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զարգացմանն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ուղղված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սուբվենցիաների</w:t>
      </w:r>
    </w:p>
    <w:p w14:paraId="4C209581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FF0000"/>
        </w:rPr>
      </w:pPr>
      <w:r w:rsidRPr="007932C0">
        <w:rPr>
          <w:rFonts w:ascii="Calibri" w:eastAsia="Times New Roman" w:hAnsi="Calibri" w:cs="Calibri"/>
          <w:color w:val="FF0000"/>
          <w:lang w:val="en-US"/>
        </w:rPr>
        <w:t> </w:t>
      </w:r>
    </w:p>
    <w:tbl>
      <w:tblPr>
        <w:tblW w:w="1040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6947"/>
      </w:tblGrid>
      <w:tr w:rsidR="007932C0" w:rsidRPr="00A87148" w14:paraId="3F5C01A3" w14:textId="77777777" w:rsidTr="00D66824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1466B5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 անվանումը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F65C" w14:textId="2F289A37" w:rsidR="007932C0" w:rsidRPr="006B6381" w:rsidRDefault="006B6381" w:rsidP="006B6381">
            <w:pPr>
              <w:jc w:val="both"/>
              <w:rPr>
                <w:rFonts w:ascii="GHEA Grapalat" w:eastAsia="Times New Roman" w:hAnsi="GHEA Grapalat" w:cs="Calibri"/>
                <w:lang w:val="hy-AM"/>
              </w:rPr>
            </w:pPr>
            <w:r w:rsidRPr="00585F19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Բյուրեղավան համայնքի Բյուրեղավան քաղաքի  «Արև»</w:t>
            </w:r>
            <w:r w:rsidRPr="00585F19">
              <w:rPr>
                <w:rFonts w:ascii="Calibri" w:eastAsia="Times New Roman" w:hAnsi="Calibri" w:cs="Calibri"/>
                <w:i/>
                <w:iCs/>
                <w:lang w:val="hy-AM" w:eastAsia="ru-RU"/>
              </w:rPr>
              <w:t> </w:t>
            </w:r>
            <w:r w:rsidRPr="00585F19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 մանկապարտեզի շենքի անհրաժեշտ վերանորոգման  և բակային տարածքի բարեկարգման աշխատանքներ:</w:t>
            </w:r>
            <w:r w:rsidRPr="006B6381">
              <w:rPr>
                <w:rFonts w:ascii="GHEA Grapalat" w:eastAsia="Times New Roman" w:hAnsi="GHEA Grapalat" w:cs="Calibri"/>
                <w:lang w:val="en-US"/>
              </w:rPr>
              <w:t xml:space="preserve">    </w:t>
            </w:r>
          </w:p>
        </w:tc>
      </w:tr>
      <w:tr w:rsidR="007932C0" w:rsidRPr="007932C0" w14:paraId="32AC2AE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7985D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Մարզ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D12EE" w14:textId="77777777" w:rsidR="007932C0" w:rsidRPr="00165441" w:rsidRDefault="00165441" w:rsidP="007932C0">
            <w:pPr>
              <w:spacing w:line="240" w:lineRule="auto"/>
              <w:rPr>
                <w:rFonts w:ascii="GHEA Grapalat" w:eastAsia="Calibri" w:hAnsi="GHEA Grapalat" w:cs="Times New Roman"/>
                <w:i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lang w:val="hy-AM"/>
              </w:rPr>
              <w:t>Կոտայք</w:t>
            </w:r>
          </w:p>
        </w:tc>
      </w:tr>
      <w:tr w:rsidR="007932C0" w:rsidRPr="00A87148" w14:paraId="44AE558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1F7803F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Համայնքը /համայնքները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FA290" w14:textId="33E23AAE" w:rsidR="00D66824" w:rsidRPr="0061799A" w:rsidRDefault="00D66824" w:rsidP="00D66824">
            <w:pPr>
              <w:spacing w:before="100" w:beforeAutospacing="1" w:after="100" w:afterAutospacing="1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Համայնք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ը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165441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</w:t>
            </w:r>
          </w:p>
          <w:p w14:paraId="100C5890" w14:textId="562BDBA2" w:rsidR="007932C0" w:rsidRPr="007932C0" w:rsidRDefault="00D66824" w:rsidP="00D66824">
            <w:pPr>
              <w:spacing w:after="0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color w:val="FF0000"/>
                <w:lang w:val="hy-AM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Մասնակից բնակավայրը՝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 քաղաք</w:t>
            </w:r>
          </w:p>
        </w:tc>
      </w:tr>
      <w:tr w:rsidR="007932C0" w:rsidRPr="00A87148" w14:paraId="1EB7817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13948C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A904" w14:textId="77777777" w:rsidR="0096429D" w:rsidRPr="003802C4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բնակավայր՝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Երևանից՝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20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,  </w:t>
            </w:r>
          </w:p>
          <w:p w14:paraId="175B256D" w14:textId="009FF424" w:rsidR="007932C0" w:rsidRPr="007932C0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մարզկենտրոն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Հրազդանից՝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35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</w:p>
        </w:tc>
      </w:tr>
      <w:tr w:rsidR="007932C0" w:rsidRPr="00A87148" w14:paraId="2A4FF23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0EF8FC6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բնակչությունը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500BD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համայնք՝     12270   մարդ</w:t>
            </w:r>
          </w:p>
          <w:p w14:paraId="2BEA1A98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բնակավայր՝ 11062 մարդ</w:t>
            </w:r>
          </w:p>
          <w:p w14:paraId="0F4D7A0D" w14:textId="435B6EC3" w:rsidR="007932C0" w:rsidRPr="007932C0" w:rsidRDefault="007932C0" w:rsidP="00D66824">
            <w:pPr>
              <w:spacing w:after="0" w:line="240" w:lineRule="auto"/>
              <w:ind w:right="83"/>
              <w:rPr>
                <w:rFonts w:ascii="GHEA Grapalat" w:hAnsi="GHEA Grapalat"/>
                <w:color w:val="FF0000"/>
                <w:spacing w:val="-6"/>
                <w:lang w:val="hy-AM"/>
              </w:rPr>
            </w:pPr>
          </w:p>
        </w:tc>
      </w:tr>
      <w:tr w:rsidR="007932C0" w:rsidRPr="00A87148" w14:paraId="150A081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580CF17A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Սահմանամերձ համայնք/բնակավայր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B951" w14:textId="3AF24737" w:rsidR="007932C0" w:rsidRPr="007932C0" w:rsidRDefault="0096429D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Calibri" w:hAnsi="GHEA Grapalat" w:cs="Arial"/>
                <w:i/>
                <w:spacing w:val="-6"/>
                <w:lang w:val="en-US"/>
              </w:rPr>
              <w:t>Բյուրեղավան</w:t>
            </w:r>
            <w:r w:rsidR="007932C0" w:rsidRPr="007932C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համայնքը չի հանդիսանում սահմանամերձ:</w:t>
            </w:r>
          </w:p>
        </w:tc>
      </w:tr>
      <w:tr w:rsidR="007932C0" w:rsidRPr="0096429D" w14:paraId="13DCF4C6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E4D530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Բարձր լեռնային համայնք /բնակավայրի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357D3" w14:textId="7BA2DA46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7932C0" w:rsidRPr="0096429D" w14:paraId="3864570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A70F79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գլխավոր հատակագծի առկայություն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82E48" w14:textId="319CB2B5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</w:p>
        </w:tc>
      </w:tr>
      <w:tr w:rsidR="00D66824" w:rsidRPr="00A87148" w14:paraId="10F16FFF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C6A627A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7932C0"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  <w:t>՝</w:t>
            </w:r>
            <w:r w:rsidRPr="007932C0">
              <w:rPr>
                <w:rFonts w:ascii="Calibri" w:eastAsia="Times New Roman" w:hAnsi="Calibri" w:cs="Calibri"/>
                <w:b/>
                <w:bCs/>
                <w:kern w:val="2"/>
                <w:lang w:val="hy-AM"/>
                <w14:ligatures w14:val="standardContextual"/>
              </w:rPr>
              <w:t> 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հստակ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 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նշելով՝</w:t>
            </w:r>
          </w:p>
          <w:p w14:paraId="1850ED77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73B2AD8B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գազամատակարարման համակարգից օգտվող համայնքի բնակչության տոկոսը,</w:t>
            </w:r>
          </w:p>
          <w:p w14:paraId="28B899FE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4CF87FB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E76C2" w14:textId="07A82A17" w:rsidR="0096429D" w:rsidRPr="0096429D" w:rsidRDefault="0096429D" w:rsidP="0096429D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Բյուրեղավան համայնքի Բյուրեղավան բնակավայրի ջրամատակարարումն ու ջրահեռացումն   իրականացվում է «Վեոլիա Ջուր» ՓԲԸ-ի կողմից 12 ժամյա գրաֆիկով և ունի 27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բաժանորդ, Ջրաբեր բնակավայրը հանդիսանում է մեծածախ գնորդ, Նուռնուս բնակավայրում և ամառանոցային հատվածում «Վեոլիա Ջուր» ՓԲԸ-ի մատուցած ծառայություններից օգտվում է 57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3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բաժանորդ: </w:t>
            </w:r>
          </w:p>
          <w:p w14:paraId="621EDA0C" w14:textId="2871730C" w:rsidR="0096429D" w:rsidRPr="0096429D" w:rsidRDefault="0096429D" w:rsidP="000F442B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բնակավայրի 2712 տնային տնտեսություններից  գազիֆիկացված է 20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88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-ը (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77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%), Նուռնուս  բնակավայրի 156 տնային տնտեսություններից գազիֆիկացված է 92-ը (59%), Ջրաբեր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 xml:space="preserve">բնակավայրի   92  տնային տնտեսություններից գազիֆիկացված է </w:t>
            </w:r>
            <w:r w:rsid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br/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68-ը (74.7%),</w:t>
            </w:r>
          </w:p>
          <w:p w14:paraId="2A43F23F" w14:textId="77777777" w:rsid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համայնքում  առկա է  15 կմ երկարությամբ ոռոգման  համակարգ, որից Ջրաբեր բնակավայրում օգտվում են բնակչության 100%, իսկ գյուղատնտեսական հողերից ոռոգվող հողատարածքների տոկոսը կազմում է 9.5%, Նուռնուս բնակավայրում օգտվում են բնակչության 10%, իսկ գյուղատնտեսական հողերից ոռոգվող հողատարածքների տոկոսը կազմում է 10%:</w:t>
            </w:r>
          </w:p>
          <w:p w14:paraId="51825B32" w14:textId="0BB13601" w:rsidR="0096429D" w:rsidRP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համայնքում փողոցային լուսավորության համակարգերը  էներգախնայող   են</w:t>
            </w:r>
            <w:r w:rsidR="000F442B" w:rsidRP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( ԼԵԴ):</w:t>
            </w:r>
          </w:p>
        </w:tc>
      </w:tr>
      <w:tr w:rsidR="00D66824" w:rsidRPr="00A87148" w14:paraId="081A69B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625385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0CD0D" w14:textId="77777777" w:rsidR="006B6381" w:rsidRDefault="00D66824" w:rsidP="006B6381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Քանի որ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համայնքի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քաղաքի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մանկապարտեզի շենք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ը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վել է խորհրդաին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տարիներին, նորոգվել է 2000-ականներին,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ուստի մանկապարտեզի 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հետագա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շահագործման համար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հարկավոր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է իրականացնել տարածքի բարեկարգման,  խաղահրապարակ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 և շվաքարանների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կառուցման</w:t>
            </w:r>
            <w:r w:rsidR="00FD0010" w:rsidRPr="00FD001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կոյուղու դիտահորերի կառուցման, տնտեսական շինության կառուցման հաշվանդամություն և հենաշարժական խնդիրներ ունեցող անձանց համար անհրաժեշտ պայմանների ստեղծման, վնասված հատակների վերանորոգման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աշխատանքնե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։</w:t>
            </w:r>
          </w:p>
          <w:p w14:paraId="6C2ACC89" w14:textId="0C09B6A7" w:rsidR="00CC417B" w:rsidRPr="00501B41" w:rsidRDefault="00D66824" w:rsidP="006B6381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Համաձայն ՀՀ քաղաքաշինության կոմիտեի 28.12.2020թ N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102-Ն հրամանի՝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ծրագրով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նախատեսվում է տարածքի համալիր բարեկարգում՝ ծառերի, թփերի տնկարկի, սիզամարգերի, գծանշված խաղահրապարակի, խաղային սարքավորումների տեղադրում, տարածքի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մասնակի ասֆալտա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պատում</w:t>
            </w:r>
            <w:r w:rsidR="00DB0BCD" w:rsidRPr="00DB0B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առանձին տնտեսական շինության կառուցում: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  <w:p w14:paraId="40F59EF4" w14:textId="77777777" w:rsidR="00CC417B" w:rsidRPr="00C60998" w:rsidRDefault="00CC417B" w:rsidP="00D66824">
            <w:pPr>
              <w:spacing w:after="0" w:line="240" w:lineRule="auto"/>
              <w:ind w:right="1546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</w:p>
          <w:p w14:paraId="29DFC1CC" w14:textId="77777777" w:rsidR="00D66824" w:rsidRPr="007932C0" w:rsidRDefault="00E109EF" w:rsidP="00E109EF">
            <w:pPr>
              <w:spacing w:after="0" w:line="240" w:lineRule="auto"/>
              <w:ind w:right="1546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D66824" w:rsidRPr="00CC417B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</w:p>
        </w:tc>
      </w:tr>
      <w:tr w:rsidR="00D66824" w:rsidRPr="00A87148" w14:paraId="5321D7A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5F9E0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Ծրագրի ակնկալվող արդյունքները, որոնց միջոցով </w:t>
            </w: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պետք է հասնել ծրագրի իրականացման նպատակին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635FC" w14:textId="2127BB1D" w:rsidR="00E109EF" w:rsidRPr="00315F00" w:rsidRDefault="00315F00" w:rsidP="000151FD">
            <w:pPr>
              <w:spacing w:after="0" w:line="240" w:lineRule="auto"/>
              <w:ind w:right="15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 xml:space="preserve">Բյուրեղավան քաղաքի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մանկապարտեզի տարածքի բարեկարգումը,  խաղահրապարակ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կառուցումը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երեխաների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համար կլուծի կարևորագույն խնդի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ր, կնպաստի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նրանց  համակողմանի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զարգացումը։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Մանկապարտեզում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3-5 տարեկան երեխաների թիվը կազմում է շուրջ 1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20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: Ծրագրի իրականաց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ման արդյունքում 120 երեխա ամեն տարի կունենա հնարավորություն ավելի որակյալ նախադպրոցական կրթություն ստանալու: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</w:tc>
      </w:tr>
      <w:tr w:rsidR="00D66824" w:rsidRPr="00A87148" w14:paraId="688E32F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5A994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4AA82" w14:textId="14B10DE1" w:rsidR="00D66824" w:rsidRPr="00E109EF" w:rsidRDefault="00E109EF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Sylfaen"/>
                <w:i/>
                <w:iCs/>
                <w:lang w:val="hy-AM" w:eastAsia="ru-RU"/>
              </w:rPr>
            </w:pPr>
            <w:r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արդյունքին հասնելու համար անհրաժեշտ միջոցառումներն են՝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նախագծա-նախահաշվային փաստաթղթերի կազմում,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շինարական աշխատանքների մրցույթի անցկացում, պայմանագրի կնքում, 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շինարարության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իրականացում:</w:t>
            </w:r>
          </w:p>
        </w:tc>
      </w:tr>
      <w:tr w:rsidR="00D66824" w:rsidRPr="00A87148" w14:paraId="7CE0825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4508BD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D158D" w14:textId="4C2F7127" w:rsidR="00D66824" w:rsidRPr="00165441" w:rsidRDefault="00D66824" w:rsidP="00076B05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Ծրագրի իրականացումը կատարված ծախսերի չափով ազդեցություն կունենա հիմնական միջոցի արժեքի վրա: Ծրագրի իրականացման դեպքում համայնքի սեփականություն համարվող հիմնական միջոցի արժեքը կավելանա </w:t>
            </w:r>
            <w:r w:rsidR="00076B05"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</w:t>
            </w: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արժեքի չափով: Ծրագրով նախատեսվող ծախսերը կապիտալ բնույթի են:</w:t>
            </w:r>
          </w:p>
        </w:tc>
      </w:tr>
      <w:tr w:rsidR="00D66824" w:rsidRPr="00A87148" w14:paraId="1110DB1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F5EFD8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ազդեցությունը համայնքի և շահառուների վրա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40217" w14:textId="33C046A1" w:rsidR="00D66824" w:rsidRPr="000F442B" w:rsidRDefault="00076B05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</w:pPr>
            <w:r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ուղղակի շահառուների թիվը յուրաքանչյուր տարի 120 երեխա է: Ամեն տարի 120 երեխա  կունենա հնարավորություն ավելի որակյալ նախադպրոցական կրթություն ստանալու:</w:t>
            </w:r>
          </w:p>
        </w:tc>
      </w:tr>
      <w:tr w:rsidR="00D66824" w:rsidRPr="00A87148" w14:paraId="032745F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B2A833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7D00" w14:textId="7262561E" w:rsidR="00D66824" w:rsidRPr="007932C0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i/>
                <w:szCs w:val="20"/>
                <w:shd w:val="clear" w:color="auto" w:fill="FFFFFF"/>
                <w:lang w:val="hy-AM"/>
              </w:rPr>
              <w:t xml:space="preserve">Շինարարության աշխատանքների իրականացման ընթացքում կստեղծվեն  ժամանակավոր նոր աշխատատեղեր:   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>Շինարարության աշխատանքներին ներգրավված բանվորական ուժը հիմնականում պետք է լինի բարձր որակավորում ունեցող մասնագետների</w:t>
            </w:r>
            <w:r w:rsidR="000F442B" w:rsidRPr="000F442B">
              <w:rPr>
                <w:rFonts w:ascii="GHEA Grapalat" w:eastAsia="Calibri" w:hAnsi="GHEA Grapalat" w:cs="Times New Roman"/>
                <w:i/>
                <w:lang w:val="hy-AM"/>
              </w:rPr>
              <w:t>: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 xml:space="preserve"> </w:t>
            </w:r>
          </w:p>
        </w:tc>
      </w:tr>
      <w:tr w:rsidR="00D66824" w:rsidRPr="00D8310A" w14:paraId="19448BB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B4BE59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նախորդ տարվա բյուջեն և բյուջեի կատարողականը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72217" w14:textId="0B075CE0" w:rsidR="00D66824" w:rsidRPr="00D8310A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Նախորդ տարվա բյուջեն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`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454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951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00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դրամ.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3"/>
              <w:gridCol w:w="954"/>
              <w:gridCol w:w="1301"/>
              <w:gridCol w:w="817"/>
            </w:tblGrid>
            <w:tr w:rsidR="00D66824" w:rsidRPr="00D8310A" w14:paraId="5B09F74C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3C152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C2F19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7906C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DC5DD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Տոկոսը</w:t>
                  </w:r>
                </w:p>
              </w:tc>
            </w:tr>
            <w:tr w:rsidR="00D66824" w:rsidRPr="00D8310A" w14:paraId="204A633D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0FCCC" w14:textId="77777777" w:rsidR="00D66824" w:rsidRPr="00824733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եկամուտները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CEF4F4" w14:textId="5B80DE33" w:rsidR="00D66824" w:rsidRPr="001C0FAE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454.951.4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97FC1F" w14:textId="114A6557" w:rsidR="00D66824" w:rsidRPr="001C0FAE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72B3B"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438.358.9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0160B" w14:textId="76BBD5CB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96.3</w:t>
                  </w:r>
                </w:p>
              </w:tc>
            </w:tr>
            <w:tr w:rsidR="00D66824" w:rsidRPr="00D8310A" w14:paraId="6E60D455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DDA53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3D80B6" w14:textId="4EBD5BFB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7FA8CC" w14:textId="1C73D403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429.821.2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7B7C69" w14:textId="0CD20FBE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99.8</w:t>
                  </w:r>
                </w:p>
              </w:tc>
            </w:tr>
            <w:tr w:rsidR="00D66824" w:rsidRPr="00D8310A" w14:paraId="2F6BC401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EBB64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79E35" w14:textId="26B3FA79" w:rsidR="00D66824" w:rsidRPr="000D2CA4" w:rsidRDefault="003F72B5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140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D178A" w14:textId="619CBBE3" w:rsidR="00D66824" w:rsidRPr="000D2CA4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D037D" w14:textId="6B431402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A440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106.5</w:t>
                  </w:r>
                </w:p>
              </w:tc>
            </w:tr>
            <w:tr w:rsidR="00D66824" w:rsidRPr="00D8310A" w14:paraId="50AA4598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B1BED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B2A76" w14:textId="619CCCE6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68.798.2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18E920" w14:textId="04879A6D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8.537.7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45EEC" w14:textId="552F532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0D2CA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12.4</w:t>
                  </w:r>
                </w:p>
              </w:tc>
            </w:tr>
            <w:tr w:rsidR="00D66824" w:rsidRPr="00D8310A" w14:paraId="14E2E809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CCB76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562F47" w14:textId="1B6DDFDB" w:rsidR="00D66824" w:rsidRPr="00824733" w:rsidRDefault="00C37A8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684.477.4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0A695" w14:textId="172F4C47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37A8D"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444.057.6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3A2A3" w14:textId="659DDC3A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64.8</w:t>
                  </w:r>
                </w:p>
              </w:tc>
            </w:tr>
            <w:tr w:rsidR="00C37A8D" w:rsidRPr="00D8310A" w14:paraId="41F3216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EC6A2D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B22714" w14:textId="67E9520A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1DEDD" w14:textId="17AB1A98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354.124.3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FB1C2" w14:textId="6EE4D23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82.2</w:t>
                  </w:r>
                </w:p>
              </w:tc>
            </w:tr>
            <w:tr w:rsidR="00C37A8D" w:rsidRPr="00D8310A" w14:paraId="584021D6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5B35B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CE675A" w14:textId="08856439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300.104.2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FB181" w14:textId="5ECE7AE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89.933.3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9521D" w14:textId="200CEA8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29.9</w:t>
                  </w:r>
                </w:p>
              </w:tc>
            </w:tr>
            <w:tr w:rsidR="00C37A8D" w:rsidRPr="00D8310A" w14:paraId="658A9E78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EFFF6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lastRenderedPageBreak/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8E4573" w14:textId="4F01B24E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B38BF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8CEDC7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</w:tr>
            <w:tr w:rsidR="00C37A8D" w:rsidRPr="00D8310A" w14:paraId="789691C1" w14:textId="77777777" w:rsidTr="008809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E3DC2" w14:textId="76ED1160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3FEFC" w14:textId="54E0DBB0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19FCA3" w14:textId="5158E22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022.6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FDD30D" w14:textId="104B882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99.3</w:t>
                  </w:r>
                </w:p>
              </w:tc>
            </w:tr>
            <w:tr w:rsidR="00C37A8D" w:rsidRPr="00D8310A" w14:paraId="15AA54E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298DE" w14:textId="09608422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աղբահանում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8F4AF3" w14:textId="59E9C01F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B1EFF" w14:textId="777C550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984.0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210ADB" w14:textId="5E45EA5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99.7</w:t>
                  </w:r>
                </w:p>
              </w:tc>
            </w:tr>
            <w:tr w:rsidR="00C37A8D" w:rsidRPr="00D8310A" w14:paraId="4622A714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786CB" w14:textId="026E70A3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 w:rsidRP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AFD06" w14:textId="77D7D439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207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9C2DF" w14:textId="2DF57C5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119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732.3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5A9DF" w14:textId="65B3C271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57.7</w:t>
                  </w:r>
                </w:p>
              </w:tc>
            </w:tr>
            <w:tr w:rsidR="00C37A8D" w:rsidRPr="00D8310A" w14:paraId="1593A04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086A7" w14:textId="308FD38D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880998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ոռոգում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EA8D16" w14:textId="0402AF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3455C" w14:textId="6A40984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88F05" w14:textId="0C04E76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100</w:t>
                  </w:r>
                </w:p>
              </w:tc>
            </w:tr>
            <w:tr w:rsidR="00C37A8D" w:rsidRPr="00D8310A" w14:paraId="13B9DD6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8F8E5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օրենսդիր գործադիր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F14401" w14:textId="14435B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6.950.0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CAB9E6" w14:textId="40EAB085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6.133.8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4A76BD" w14:textId="60DB9B42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88.2</w:t>
                  </w:r>
                </w:p>
              </w:tc>
            </w:tr>
          </w:tbl>
          <w:p w14:paraId="0E95860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15B06D3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5B0FA5E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Համայնքի</w:t>
            </w:r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ընթացիկ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բյուջեն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3F779" w14:textId="77777777" w:rsidR="000F442B" w:rsidRDefault="004D732B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</w:pP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779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.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228.9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00</w:t>
            </w:r>
            <w:r>
              <w:rPr>
                <w:rFonts w:ascii="GHEA Grapalat" w:eastAsia="Times New Roman" w:hAnsi="GHEA Grapalat" w:cs="Times New Roman"/>
                <w:i/>
                <w:iCs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դրամ.</w:t>
            </w:r>
          </w:p>
          <w:p w14:paraId="2181D0E6" w14:textId="3F69A3D7" w:rsidR="00D66824" w:rsidRPr="00D8310A" w:rsidRDefault="00D66824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3"/>
              <w:gridCol w:w="1122"/>
            </w:tblGrid>
            <w:tr w:rsidR="00D66824" w:rsidRPr="00D8310A" w14:paraId="09A9D9A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7DF00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2B58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</w:tr>
            <w:tr w:rsidR="00D66824" w:rsidRPr="00D8310A" w14:paraId="017B6E8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10841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պլանավորում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A8095A" w14:textId="768C576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779228.9</w:t>
                  </w:r>
                </w:p>
              </w:tc>
            </w:tr>
            <w:tr w:rsidR="00D66824" w:rsidRPr="00D8310A" w14:paraId="4EDD0EF4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B162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 բյուջեի եկամուտներ, 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3828" w14:textId="668C2338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553306.5</w:t>
                  </w:r>
                </w:p>
              </w:tc>
            </w:tr>
            <w:tr w:rsidR="00D66824" w:rsidRPr="00D8310A" w14:paraId="41A2AB0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377DE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սեփական եկամուտներ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6A2F3A" w14:textId="1BECF4F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158898.4</w:t>
                  </w:r>
                </w:p>
              </w:tc>
            </w:tr>
            <w:tr w:rsidR="00D66824" w:rsidRPr="00D8310A" w14:paraId="7DEE2CA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7CEB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10F0AF" w14:textId="6BEA8D40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236885.5</w:t>
                  </w:r>
                </w:p>
              </w:tc>
            </w:tr>
            <w:tr w:rsidR="00D66824" w:rsidRPr="00D8310A" w14:paraId="0E43DEC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3327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4FE7E" w14:textId="2B2DE5D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1004836.1</w:t>
                  </w:r>
                </w:p>
              </w:tc>
            </w:tr>
            <w:tr w:rsidR="00D66824" w:rsidRPr="00D8310A" w14:paraId="718D3D6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611D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A762FC" w14:textId="0B48A891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542343.4</w:t>
                  </w:r>
                </w:p>
              </w:tc>
            </w:tr>
            <w:tr w:rsidR="00D66824" w:rsidRPr="00D8310A" w14:paraId="33AC787F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78984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773801" w14:textId="6D4C205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553352.7</w:t>
                  </w:r>
                </w:p>
              </w:tc>
            </w:tr>
            <w:tr w:rsidR="00D66824" w:rsidRPr="00D8310A" w14:paraId="0A576FF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7CF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պլանավորված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A23852" w14:textId="7657159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D66824" w:rsidRPr="00D8310A" w14:paraId="51AA8E1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E355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>օրենսդիր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00F457" w14:textId="3BF776BF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1520.8</w:t>
                  </w:r>
                </w:p>
              </w:tc>
            </w:tr>
            <w:tr w:rsidR="00D66824" w:rsidRPr="00D8310A" w14:paraId="0E36A0B0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0DFA6" w14:textId="5869D165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1B251A"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ջրամատակարարում</w:t>
                  </w:r>
                  <w:r w:rsidR="001B251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 xml:space="preserve"> ,  ոռոգում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D0D2DF" w14:textId="11546F6C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47000.0</w:t>
                  </w:r>
                </w:p>
              </w:tc>
            </w:tr>
            <w:tr w:rsidR="00D66824" w:rsidRPr="00D8310A" w14:paraId="4378E61E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F3416" w14:textId="29EF324F" w:rsidR="00D66824" w:rsidRPr="009B329E" w:rsidRDefault="009B329E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E1A05" w14:textId="65381F79" w:rsidR="00D66824" w:rsidRPr="00824733" w:rsidRDefault="009B329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37000.0</w:t>
                  </w:r>
                </w:p>
              </w:tc>
            </w:tr>
            <w:tr w:rsidR="00D66824" w:rsidRPr="00D8310A" w14:paraId="3FC4C04C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0DE80" w14:textId="58B7DC7A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E7590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04808F" w14:textId="2AB06C8C" w:rsidR="009B329E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336931.9</w:t>
                  </w:r>
                </w:p>
              </w:tc>
            </w:tr>
            <w:tr w:rsidR="00B108DA" w:rsidRPr="00D8310A" w14:paraId="2DBB623E" w14:textId="77777777" w:rsidTr="00B108DA">
              <w:trPr>
                <w:trHeight w:val="488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3D3209" w14:textId="351C64C9" w:rsidR="00B108DA" w:rsidRPr="009B329E" w:rsidRDefault="00B108DA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ճանապարհաշինություն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0158DF" w14:textId="0C730066" w:rsidR="00B108DA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44000.0</w:t>
                  </w:r>
                </w:p>
              </w:tc>
            </w:tr>
            <w:tr w:rsidR="00B108DA" w:rsidRPr="00D8310A" w14:paraId="6AAAED8A" w14:textId="77777777" w:rsidTr="00E7590E">
              <w:trPr>
                <w:trHeight w:val="434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CF54D3" w14:textId="26C518C1" w:rsidR="00B108DA" w:rsidRPr="0000771F" w:rsidRDefault="0000771F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-փողոցային լուսավորություն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F5F454" w14:textId="7BA277C8" w:rsidR="00B108DA" w:rsidRPr="00824733" w:rsidRDefault="0000771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2000.0</w:t>
                  </w:r>
                </w:p>
              </w:tc>
            </w:tr>
            <w:tr w:rsidR="00E7590E" w:rsidRPr="00D8310A" w14:paraId="41F9E46F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E45FA5" w14:textId="7BDDB371" w:rsidR="00E7590E" w:rsidRPr="00D8310A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-բակեր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363E1E" w14:textId="2A1EBCBB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58000.0</w:t>
                  </w:r>
                </w:p>
              </w:tc>
            </w:tr>
            <w:tr w:rsidR="00E7590E" w:rsidRPr="00D8310A" w14:paraId="0D75D2D6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2822A5" w14:textId="02D68066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-առողջապահություն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C609E2" w14:textId="55DB8C73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19900.0</w:t>
                  </w:r>
                </w:p>
              </w:tc>
            </w:tr>
            <w:tr w:rsidR="00E7590E" w:rsidRPr="00D8310A" w14:paraId="60620685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35DC46" w14:textId="0E1AEB35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-մշակույթի տուն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6C5051E1" w14:textId="52687AD6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4000.0</w:t>
                  </w:r>
                </w:p>
              </w:tc>
            </w:tr>
          </w:tbl>
          <w:p w14:paraId="08B4A87D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A87148" w14:paraId="17257BE1" w14:textId="77777777" w:rsidTr="00D66824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C5AE4D2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միջնաժամկետ ծախսերի ծրագիրը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92036" w14:textId="2444699A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 բյուջեն</w:t>
            </w:r>
            <w:r w:rsidR="002F21C6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021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C0EEE"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D66824" w:rsidRPr="00A87148" w14:paraId="4D21407D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2C6D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0239" w14:textId="53BFC3E9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տարվան հաջորդող տարվա բյուջեն`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    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301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94C31" w:rsidRPr="00F97723">
              <w:rPr>
                <w:rFonts w:ascii="GHEA Grapalat" w:eastAsia="Times New Roman" w:hAnsi="GHEA Grapalat"/>
                <w:color w:val="FF0000"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D66824" w:rsidRPr="00A87148" w14:paraId="4B1E2030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D7F3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04545" w14:textId="77777777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</w:tc>
      </w:tr>
      <w:tr w:rsidR="00D66824" w:rsidRPr="007932C0" w14:paraId="5E4C7519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5AD26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1613"/>
              <w:gridCol w:w="1613"/>
            </w:tblGrid>
            <w:tr w:rsidR="00D66824" w:rsidRPr="00A87148" w14:paraId="5082E9DA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907CB3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32337" w14:textId="77777777" w:rsidR="00D66824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տարի</w:t>
                  </w:r>
                </w:p>
                <w:p w14:paraId="590C9619" w14:textId="37C2A556" w:rsidR="002A500E" w:rsidRPr="00D8310A" w:rsidRDefault="002A500E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2025թ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E72A54" w14:textId="77777777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տարվան</w:t>
                  </w:r>
                </w:p>
                <w:p w14:paraId="094FABEA" w14:textId="7DFBB708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հաջորդող տարի</w:t>
                  </w:r>
                  <w:r w:rsidR="002A500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2026թ</w:t>
                  </w:r>
                </w:p>
              </w:tc>
            </w:tr>
            <w:tr w:rsidR="00594C31" w:rsidRPr="00D8310A" w14:paraId="29D6B5B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232BA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7170DDF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FF2E43" w14:textId="0198911A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9E6D60" w14:textId="5F837585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955.553.5</w:t>
                  </w:r>
                </w:p>
              </w:tc>
            </w:tr>
            <w:tr w:rsidR="00594C31" w:rsidRPr="00D8310A" w14:paraId="64CE2F8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6366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60D53E" w14:textId="1C653088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E19998" w14:textId="10E60407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755.533.5</w:t>
                  </w:r>
                </w:p>
              </w:tc>
            </w:tr>
            <w:tr w:rsidR="00594C31" w:rsidRPr="00D8310A" w14:paraId="552548D7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29A5F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E91529" w14:textId="177A58EC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192.264.7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DDC042" w14:textId="46A6AAE8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243.164.6</w:t>
                  </w:r>
                </w:p>
              </w:tc>
            </w:tr>
            <w:tr w:rsidR="00594C31" w:rsidRPr="00D8310A" w14:paraId="25FC5373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84809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03246" w14:textId="4D6BEE71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B57954" w14:textId="20D6FD2F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32.000.0</w:t>
                  </w:r>
                </w:p>
              </w:tc>
            </w:tr>
            <w:tr w:rsidR="00594C31" w:rsidRPr="00D8310A" w14:paraId="49D9078F" w14:textId="77777777" w:rsidTr="007C4424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A24A3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71FC7474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</w:t>
                  </w:r>
                  <w:r w:rsidRPr="00AE5716">
                    <w:rPr>
                      <w:rFonts w:eastAsia="Times New Roman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AE5716">
                    <w:rPr>
                      <w:rFonts w:ascii="GHEA Grapalat" w:eastAsia="Times New Roman" w:hAnsi="GHEA Grapalat" w:cs="Arial Unicode"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0C6DEA" w14:textId="641112ED" w:rsidR="00594C31" w:rsidRPr="00023368" w:rsidRDefault="00A71386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E199E0" w14:textId="3DAD6764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821.232.4</w:t>
                  </w:r>
                </w:p>
              </w:tc>
            </w:tr>
            <w:tr w:rsidR="00F5325D" w:rsidRPr="00D8310A" w14:paraId="0D860EEA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3C2FB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5BDC57" w14:textId="7CC14830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20E88B" w14:textId="359D5450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621.232.4</w:t>
                  </w:r>
                </w:p>
              </w:tc>
            </w:tr>
            <w:tr w:rsidR="00F5325D" w:rsidRPr="00D8310A" w14:paraId="14A5D5D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6E87E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208A" w14:textId="4D3C9DFD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E6FDDE" w14:textId="59ACA99D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320.000.0</w:t>
                  </w:r>
                </w:p>
              </w:tc>
            </w:tr>
            <w:tr w:rsidR="00F5325D" w:rsidRPr="00D8310A" w14:paraId="3BAF68C2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84DD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0E9E798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8529B" w14:textId="1A6C5DFC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75F11C" w14:textId="283BD523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1FAEA941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E70B4A" w14:textId="77777777" w:rsidR="00F5325D" w:rsidRPr="003C63E4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օրենսդիր-գործադիր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8F053" w14:textId="066E5159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185CD7" w14:textId="7CD51DF6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98</w:t>
                  </w:r>
                  <w:r w:rsidR="00045D78"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.</w:t>
                  </w: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000.0</w:t>
                  </w:r>
                </w:p>
              </w:tc>
            </w:tr>
            <w:tr w:rsidR="00F5325D" w:rsidRPr="00D8310A" w14:paraId="31374FE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42D55" w14:textId="23F67091" w:rsidR="00F5325D" w:rsidRPr="00FB4A11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601E7"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  <w:t>-</w:t>
                  </w:r>
                  <w:r w:rsidR="00FB4A11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արտադպրոցական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5B4F4" w14:textId="6B734CCB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151.036.8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6CC10F" w14:textId="2C25BFBF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100.000.0</w:t>
                  </w:r>
                </w:p>
              </w:tc>
            </w:tr>
            <w:tr w:rsidR="00306AA7" w:rsidRPr="00D8310A" w14:paraId="2968F5C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DB6CC0" w14:textId="2E7091B3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E7E780" w14:textId="73A8AAE2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A90D1E" w14:textId="72BBC5A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306AA7" w:rsidRPr="00D8310A" w14:paraId="4F7DC8BD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57CFBA" w14:textId="278ADBFE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C8F03B" w14:textId="70048891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42.500.0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B4E338" w14:textId="289B384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F5325D" w:rsidRPr="00D8310A" w14:paraId="73F0A297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19A54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Ենթակառուցվածքների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զարգացմանն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ուղղված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համար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  <w:p w14:paraId="028A4596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  <w:t>/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ներկայացնել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համար</w:t>
                  </w:r>
                </w:p>
                <w:p w14:paraId="0D9C4065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lastRenderedPageBreak/>
                    <w:t>համայնքի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բյուջեից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գումարները՝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ոլորտների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5F1F50" w14:textId="65F620BD" w:rsidR="00F5325D" w:rsidRPr="00341B66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5C0EE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lastRenderedPageBreak/>
                    <w:t>301036</w:t>
                  </w: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.9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410884" w14:textId="23CE6E87" w:rsidR="00F5325D" w:rsidRPr="00341B66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</w:p>
              </w:tc>
            </w:tr>
            <w:tr w:rsidR="00F5325D" w:rsidRPr="00D8310A" w14:paraId="36453B54" w14:textId="77777777" w:rsidTr="00594C31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A779C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  <w:r w:rsidRPr="00C60998">
                    <w:rPr>
                      <w:rFonts w:ascii="GHEA Grapalat" w:eastAsia="Times New Roman" w:hAnsi="GHEA Grapalat" w:cs="Times New Roman"/>
                      <w:color w:val="000000" w:themeColor="text1"/>
                      <w:kern w:val="2"/>
                      <w:lang w:val="en-US"/>
                      <w14:ligatures w14:val="standardContextual"/>
                    </w:rPr>
                    <w:t>- ճանապարհաշինություն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B8625" w14:textId="5D7AE44B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045D78" w:rsidRPr="0002336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120.000.0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617A0" w14:textId="77777777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</w:tr>
            <w:tr w:rsidR="00F5325D" w:rsidRPr="00D8310A" w14:paraId="0CBFD75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1D611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 ջրամատակարարում/ջրահեռացում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7E07C4" w14:textId="34DAF4A9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FCCFE1" w14:textId="74CE9945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668DA9C6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3D31B" w14:textId="72552C96" w:rsidR="00F5325D" w:rsidRPr="003C15F0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 նախադպրոցական հաստատություններ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B691BF" w14:textId="626DBFD1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151.036.</w:t>
                  </w:r>
                  <w:r w:rsidR="00B66899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02052F" w14:textId="4EE8D654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4EAEAF1C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B6F8A1" w14:textId="184D770E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r w:rsidR="00045D7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բակեր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6D214F" w14:textId="490506F5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3D852" w14:textId="3F92418C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</w:tbl>
          <w:p w14:paraId="539D8D8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0E46AFEB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6352B3B" w14:textId="77777777" w:rsidR="00D66824" w:rsidRPr="007C4424" w:rsidRDefault="00D66824" w:rsidP="007C4424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</w:pP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  <w:lastRenderedPageBreak/>
              <w:t xml:space="preserve"> 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Հարկերի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,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տուրքերի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այլ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վճարների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հավաքագրում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84688" w14:textId="41D49512" w:rsidR="00D66824" w:rsidRPr="00D8310A" w:rsidRDefault="00D66824" w:rsidP="00D66824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kern w:val="2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նախորդ տարվա </w:t>
            </w:r>
            <w:r w:rsidRPr="00D8310A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 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հարկերի, տուրքերի և այլ վճարների հավաքագրման մակարդակը  </w:t>
            </w:r>
            <w:r w:rsidR="00F97723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103.4 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%</w:t>
            </w:r>
          </w:p>
        </w:tc>
      </w:tr>
      <w:tr w:rsidR="00D66824" w:rsidRPr="003802C4" w14:paraId="6A3CA3E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D77C0C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միջնաժամկետ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ծախսերի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բյուջետային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ներառյալ՝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ֆինանսական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հարթեցման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դոտացիայի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գծով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)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նշված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անհնարինության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հիմնավորումը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համապատասխան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հաշվարկ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ներով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A11B" w14:textId="528C70E2" w:rsidR="009760DC" w:rsidRPr="009F4DAE" w:rsidRDefault="00D66824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Calibri" w:eastAsia="Times New Roman" w:hAnsi="Calibri" w:cs="Calibri"/>
                <w:kern w:val="2"/>
                <w:lang w:val="en-US"/>
                <w14:ligatures w14:val="standardContextual"/>
              </w:rPr>
              <w:t> 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Համայնքի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202</w:t>
            </w:r>
            <w:r w:rsidR="002A500E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5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թվականի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բյուջետային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մուտքերը՝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ներառյալ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ֆինանսական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համահարթեցման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դոտացիայի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գծով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,  </w:t>
            </w:r>
          </w:p>
          <w:p w14:paraId="4D2F4460" w14:textId="682464A1" w:rsidR="009760DC" w:rsidRPr="009760DC" w:rsidRDefault="00F97723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658154.2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հազ. դրամ է:</w:t>
            </w:r>
          </w:p>
          <w:p w14:paraId="0DBEC29C" w14:textId="295F003A" w:rsidR="00D66824" w:rsidRPr="003C15F0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D66824" w:rsidRPr="00A87148" w14:paraId="66748E38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67B3F9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Ծրագրի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ընդհանուր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բյուջեն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,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այդ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թվում՝</w:t>
            </w:r>
          </w:p>
          <w:p w14:paraId="2C702B01" w14:textId="5A6B486E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շինարարական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օբյեկտների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662E8D25" w14:textId="621FCB18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նախագծանախահաշվային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փաստաթղթերի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պետական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r w:rsidRPr="00C60998">
              <w:rPr>
                <w:rFonts w:ascii="Calibri" w:eastAsia="Times New Roman" w:hAnsi="Calibri" w:cs="Calibri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 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22E99EBB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77B410D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հեղինակային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4E7B76C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lastRenderedPageBreak/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գոյություն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ունեցող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շենք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-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վիճակի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վերաբերյալ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187744C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ինժեներաերկրաբանական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հետազոտության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————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  <w:p w14:paraId="74856B9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ինչպես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նաև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առանձին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ներկայացնել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հասարակական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բազմաբնակարան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ընդհանուր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օգտագործման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գույքի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կառուցման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>/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նորոգման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դեպքում՝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էներգախնայողության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միջոցառումների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_________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A05E0" w14:textId="0E6708B6" w:rsidR="00D66824" w:rsidRPr="007C5CB6" w:rsidRDefault="00D8310A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lastRenderedPageBreak/>
              <w:t xml:space="preserve"> </w:t>
            </w:r>
            <w:r w:rsidR="002A500E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4</w:t>
            </w:r>
            <w:r w:rsidR="005B7C55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2. 745.557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3C2E35C7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35B717B7" w14:textId="76E9B563" w:rsidR="00023368" w:rsidRPr="007C5CB6" w:rsidRDefault="001227C0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777.000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75DD4CD2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40FD5A03" w14:textId="1A7459A2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80.000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2234906B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  <w:p w14:paraId="4F94664B" w14:textId="555A1AAD" w:rsidR="005B7C55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362.407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 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ներառված է ծրագրի ընդհանուր բյուջե տողում </w:t>
            </w:r>
          </w:p>
          <w:p w14:paraId="2E372A32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2BB0A5A9" w14:textId="77777777" w:rsidR="00FD0010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108.722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ներառված է ծրագրի ընդհանուր բյուջե տողում</w:t>
            </w:r>
          </w:p>
          <w:p w14:paraId="3D7C5924" w14:textId="32CFFCAB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5E0CE7C7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80F9E0" w14:textId="77777777" w:rsidR="00D66824" w:rsidRPr="0061799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61799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Համայնքի կողմից ներդրվող մասնաբաժնի չափը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BFB3" w14:textId="1FEB6EBC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5.1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% 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1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դրամ</w:t>
            </w:r>
          </w:p>
        </w:tc>
      </w:tr>
      <w:tr w:rsidR="00D66824" w:rsidRPr="007932C0" w14:paraId="78525E74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024AE83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Այլ ներդրողներ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79CAD" w14:textId="2CDF24C4" w:rsidR="00D66824" w:rsidRPr="00FD001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38259AC2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FE7E88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իրականացման տևողությունը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6624A" w14:textId="650DCF4B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6 ամիս</w:t>
            </w:r>
          </w:p>
        </w:tc>
      </w:tr>
      <w:tr w:rsidR="00D66824" w:rsidRPr="00A87148" w14:paraId="078F849C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5AED135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ծախսերը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C91BA" w14:textId="572CA7E7" w:rsidR="00D66824" w:rsidRPr="00FD0010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Կից ներկայացվում են նախագծանախահաշվային </w:t>
            </w:r>
            <w:r w:rsidR="006210A1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փաստաթղթերը</w:t>
            </w:r>
          </w:p>
        </w:tc>
      </w:tr>
      <w:tr w:rsidR="00D66824" w:rsidRPr="007932C0" w14:paraId="66365925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DF07DA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Ամսաթիվ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CEBFF" w14:textId="26D80C41" w:rsidR="00D66824" w:rsidRPr="000F442B" w:rsidRDefault="00585F19" w:rsidP="00775CD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18 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օգոստոս 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5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թ</w:t>
            </w:r>
            <w:r w:rsidR="000F442B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  <w:t>.</w:t>
            </w:r>
          </w:p>
        </w:tc>
      </w:tr>
    </w:tbl>
    <w:p w14:paraId="4D49397B" w14:textId="77777777" w:rsidR="000E38EF" w:rsidRPr="00A4536F" w:rsidRDefault="000E38EF" w:rsidP="000E38EF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D2F0924" w14:textId="77777777" w:rsidR="000E38EF" w:rsidRPr="00A4536F" w:rsidRDefault="000E38EF" w:rsidP="000E38EF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8" w:history="1"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Pr="00E01B4E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607E5B4E" w14:textId="77777777" w:rsidR="000E38EF" w:rsidRPr="00A4536F" w:rsidRDefault="000E38EF" w:rsidP="000E38EF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A81A623" w14:textId="77777777" w:rsidR="000E38EF" w:rsidRPr="00A4536F" w:rsidRDefault="000E38EF" w:rsidP="000E38EF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0ACF6EA6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52D4994A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13167047" w14:textId="77777777" w:rsidR="001C5E12" w:rsidRDefault="001C5E12"/>
    <w:sectPr w:rsidR="001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4A25" w14:textId="77777777" w:rsidR="007D61BC" w:rsidRDefault="007D61BC" w:rsidP="000F442B">
      <w:pPr>
        <w:spacing w:after="0" w:line="240" w:lineRule="auto"/>
      </w:pPr>
      <w:r>
        <w:separator/>
      </w:r>
    </w:p>
  </w:endnote>
  <w:endnote w:type="continuationSeparator" w:id="0">
    <w:p w14:paraId="73D25F78" w14:textId="77777777" w:rsidR="007D61BC" w:rsidRDefault="007D61BC" w:rsidP="000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0F34" w14:textId="77777777" w:rsidR="007D61BC" w:rsidRDefault="007D61BC" w:rsidP="000F442B">
      <w:pPr>
        <w:spacing w:after="0" w:line="240" w:lineRule="auto"/>
      </w:pPr>
      <w:r>
        <w:separator/>
      </w:r>
    </w:p>
  </w:footnote>
  <w:footnote w:type="continuationSeparator" w:id="0">
    <w:p w14:paraId="39A9AFE8" w14:textId="77777777" w:rsidR="007D61BC" w:rsidRDefault="007D61BC" w:rsidP="000F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514"/>
    <w:multiLevelType w:val="hybridMultilevel"/>
    <w:tmpl w:val="AC62E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4467E6"/>
    <w:multiLevelType w:val="hybridMultilevel"/>
    <w:tmpl w:val="52308C56"/>
    <w:lvl w:ilvl="0" w:tplc="47505492">
      <w:start w:val="1"/>
      <w:numFmt w:val="decimal"/>
      <w:lvlText w:val="%1)"/>
      <w:lvlJc w:val="left"/>
      <w:pPr>
        <w:ind w:left="72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780F"/>
    <w:multiLevelType w:val="hybridMultilevel"/>
    <w:tmpl w:val="1512A1C2"/>
    <w:lvl w:ilvl="0" w:tplc="FB741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2"/>
    <w:rsid w:val="0000771F"/>
    <w:rsid w:val="00007D27"/>
    <w:rsid w:val="000151FD"/>
    <w:rsid w:val="00023368"/>
    <w:rsid w:val="00045D78"/>
    <w:rsid w:val="00076B05"/>
    <w:rsid w:val="000A1DF3"/>
    <w:rsid w:val="000D2CA4"/>
    <w:rsid w:val="000E38EF"/>
    <w:rsid w:val="000F442B"/>
    <w:rsid w:val="0011271F"/>
    <w:rsid w:val="001227C0"/>
    <w:rsid w:val="001342C3"/>
    <w:rsid w:val="00165441"/>
    <w:rsid w:val="001B251A"/>
    <w:rsid w:val="001C0FAE"/>
    <w:rsid w:val="001C5E12"/>
    <w:rsid w:val="001E55BC"/>
    <w:rsid w:val="00204738"/>
    <w:rsid w:val="00237741"/>
    <w:rsid w:val="00291F5B"/>
    <w:rsid w:val="002A500E"/>
    <w:rsid w:val="002C0D34"/>
    <w:rsid w:val="002F21C6"/>
    <w:rsid w:val="00306AA7"/>
    <w:rsid w:val="00315F00"/>
    <w:rsid w:val="003219B5"/>
    <w:rsid w:val="00340863"/>
    <w:rsid w:val="00341B66"/>
    <w:rsid w:val="003802C4"/>
    <w:rsid w:val="00381EEE"/>
    <w:rsid w:val="003C15F0"/>
    <w:rsid w:val="003F72B5"/>
    <w:rsid w:val="00431472"/>
    <w:rsid w:val="004D732B"/>
    <w:rsid w:val="00501B41"/>
    <w:rsid w:val="00585F19"/>
    <w:rsid w:val="00594C31"/>
    <w:rsid w:val="005B7C55"/>
    <w:rsid w:val="005C0EEE"/>
    <w:rsid w:val="005F4539"/>
    <w:rsid w:val="0061799A"/>
    <w:rsid w:val="006210A1"/>
    <w:rsid w:val="00630C91"/>
    <w:rsid w:val="00672B3B"/>
    <w:rsid w:val="006B6381"/>
    <w:rsid w:val="006B698D"/>
    <w:rsid w:val="007203F2"/>
    <w:rsid w:val="00770D76"/>
    <w:rsid w:val="00775CDA"/>
    <w:rsid w:val="007932C0"/>
    <w:rsid w:val="007C4424"/>
    <w:rsid w:val="007C5CB6"/>
    <w:rsid w:val="007D61BC"/>
    <w:rsid w:val="00824733"/>
    <w:rsid w:val="00880998"/>
    <w:rsid w:val="00956056"/>
    <w:rsid w:val="00961D72"/>
    <w:rsid w:val="0096429D"/>
    <w:rsid w:val="009760DC"/>
    <w:rsid w:val="00996401"/>
    <w:rsid w:val="00997E52"/>
    <w:rsid w:val="009B329E"/>
    <w:rsid w:val="009B5D43"/>
    <w:rsid w:val="009D0757"/>
    <w:rsid w:val="009D47F6"/>
    <w:rsid w:val="009F4DAE"/>
    <w:rsid w:val="00A440F6"/>
    <w:rsid w:val="00A71386"/>
    <w:rsid w:val="00A774B0"/>
    <w:rsid w:val="00A83C61"/>
    <w:rsid w:val="00A87148"/>
    <w:rsid w:val="00B108DA"/>
    <w:rsid w:val="00B40F7D"/>
    <w:rsid w:val="00B4750F"/>
    <w:rsid w:val="00B66899"/>
    <w:rsid w:val="00BD08D3"/>
    <w:rsid w:val="00BF1440"/>
    <w:rsid w:val="00C2167E"/>
    <w:rsid w:val="00C37A8D"/>
    <w:rsid w:val="00C47D4B"/>
    <w:rsid w:val="00C60998"/>
    <w:rsid w:val="00C81B37"/>
    <w:rsid w:val="00CA7DB0"/>
    <w:rsid w:val="00CC417B"/>
    <w:rsid w:val="00CD3D71"/>
    <w:rsid w:val="00D53E9C"/>
    <w:rsid w:val="00D66824"/>
    <w:rsid w:val="00D82573"/>
    <w:rsid w:val="00D8310A"/>
    <w:rsid w:val="00DB0BCD"/>
    <w:rsid w:val="00DD5AF2"/>
    <w:rsid w:val="00E04E8D"/>
    <w:rsid w:val="00E109EF"/>
    <w:rsid w:val="00E7590E"/>
    <w:rsid w:val="00E925DA"/>
    <w:rsid w:val="00E95522"/>
    <w:rsid w:val="00F5325D"/>
    <w:rsid w:val="00F97723"/>
    <w:rsid w:val="00FB4A11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8D76"/>
  <w15:chartTrackingRefBased/>
  <w15:docId w15:val="{65A30DC1-B46B-4BD9-B333-FF502EF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2C0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0"/>
    <w:locked/>
    <w:rsid w:val="007932C0"/>
    <w:rPr>
      <w:rFonts w:ascii="Calibri" w:eastAsia="Calibri" w:hAnsi="Calibri" w:cs="Times New Roman"/>
    </w:rPr>
  </w:style>
  <w:style w:type="paragraph" w:customStyle="1" w:styleId="10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7932C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0E38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42B"/>
  </w:style>
  <w:style w:type="paragraph" w:styleId="a6">
    <w:name w:val="footer"/>
    <w:basedOn w:val="a"/>
    <w:link w:val="a7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zaryan-sarg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1A27-57DB-47E6-8195-070095D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3</cp:revision>
  <cp:lastPrinted>2025-08-28T08:36:00Z</cp:lastPrinted>
  <dcterms:created xsi:type="dcterms:W3CDTF">2025-08-20T08:08:00Z</dcterms:created>
  <dcterms:modified xsi:type="dcterms:W3CDTF">2025-08-28T08:36:00Z</dcterms:modified>
</cp:coreProperties>
</file>