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proofErr w:type="spellStart"/>
      <w:r w:rsidR="00557C3D" w:rsidRPr="00940561">
        <w:rPr>
          <w:b/>
        </w:rPr>
        <w:t>համայնք</w:t>
      </w:r>
      <w:proofErr w:type="spellEnd"/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F6148B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ac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ac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BA6D13">
        <w:trPr>
          <w:trHeight w:val="682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ac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Քաղաք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Բյուրեղավան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31244C33" w:rsidR="00D62C56" w:rsidRPr="007B670D" w:rsidRDefault="00F33CF0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074D4F6D" w:rsidR="00D62C56" w:rsidRPr="00DD75B7" w:rsidRDefault="00DD75B7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Գյուղ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Նուռնուս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77F616C1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Գյուղ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Ջրաբեր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F14DA16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6107F9A3" w:rsidR="00D62C56" w:rsidRPr="0011196B" w:rsidRDefault="00D62C56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203873BB" w:rsidR="00D62C56" w:rsidRPr="007B670D" w:rsidRDefault="00DD75B7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683548C6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hy-AM"/>
        </w:rPr>
      </w:pP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F6148B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531296">
        <w:trPr>
          <w:trHeight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proofErr w:type="spellEnd"/>
          </w:p>
          <w:p w14:paraId="39961A4B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առաջ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նկարագրել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ՀՈԱԿ-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ներում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հաստիքների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ավելացումը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պակասումը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</w:tr>
      <w:tr w:rsidR="006D612B" w:rsidRPr="00BF3A83" w14:paraId="6DBBE400" w14:textId="77777777" w:rsidTr="00BF3A83">
        <w:trPr>
          <w:trHeight w:val="97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3DDA2366" w14:textId="55F6429B" w:rsidR="00D62C56" w:rsidRPr="00EC6166" w:rsidRDefault="00D62C56" w:rsidP="00EC616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0B43" w14:textId="279B1E05" w:rsidR="00531296" w:rsidRPr="00C442A5" w:rsidRDefault="00531296" w:rsidP="00531296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</w:p>
        </w:tc>
      </w:tr>
      <w:tr w:rsidR="0076402B" w14:paraId="26183EC4" w14:textId="77777777" w:rsidTr="0076402B">
        <w:trPr>
          <w:trHeight w:val="55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76402B" w:rsidRPr="00D62C56" w:rsidRDefault="0076402B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Քաղաք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Բյուրեղավան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որից</w:t>
            </w:r>
            <w:proofErr w:type="spellEnd"/>
            <w:r>
              <w:rPr>
                <w:rFonts w:cs="Calibri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B6EDD" w14:textId="3E9821A5" w:rsidR="0076402B" w:rsidRDefault="0076402B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7C212E07" w:rsidR="0076402B" w:rsidRPr="00F33CF0" w:rsidRDefault="00F33CF0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lang w:val="hy-AM" w:eastAsia="ru-RU"/>
              </w:rPr>
              <w:t>13</w:t>
            </w:r>
            <w:r w:rsidR="000203C9">
              <w:rPr>
                <w:rFonts w:eastAsia="Times New Roman" w:cs="Times New Roman"/>
                <w:color w:val="000000"/>
                <w:lang w:val="hy-AM" w:eastAsia="ru-RU"/>
              </w:rPr>
              <w:t>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76402B" w:rsidRDefault="0076402B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76402B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Գյուղ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Նուռնուս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Գյուղ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Ջրաբեր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ac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4F3BD9C1" w:rsidR="006D612B" w:rsidRPr="00F33CF0" w:rsidRDefault="00F33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13</w:t>
            </w:r>
            <w:r w:rsidR="000203C9"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0C51CF9C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lastRenderedPageBreak/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տրամադրումը, </w:t>
      </w:r>
      <w:r w:rsidR="000D5FB0">
        <w:rPr>
          <w:lang w:val="hy-AM"/>
        </w:rPr>
        <w:t>համայնքի ղեկավարի և ավագանու անդամների մոտ ընդունելության գրանցումը</w:t>
      </w:r>
      <w:r w:rsidR="00B62455" w:rsidRPr="00B4556B">
        <w:rPr>
          <w:lang w:val="hy-AM"/>
        </w:rPr>
        <w:t>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</w:t>
      </w:r>
      <w:r w:rsidR="00DD75B7">
        <w:rPr>
          <w:lang w:val="hy-AM"/>
        </w:rPr>
        <w:t xml:space="preserve"> </w:t>
      </w:r>
      <w:r w:rsidR="00B62455" w:rsidRPr="00B4556B">
        <w:rPr>
          <w:lang w:val="hy-AM"/>
        </w:rPr>
        <w:t>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702D50A8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</w:t>
      </w:r>
      <w:r w:rsidR="000D02D8">
        <w:rPr>
          <w:lang w:val="hy-AM"/>
        </w:rPr>
        <w:t>ն</w:t>
      </w:r>
      <w:r w:rsidRPr="00B4556B">
        <w:rPr>
          <w:lang w:val="hy-AM"/>
        </w:rPr>
        <w:t>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կայք </w:t>
      </w:r>
      <w:r w:rsidR="00BF3A83">
        <w:rPr>
          <w:lang w:val="hy-AM"/>
        </w:rPr>
        <w:br/>
      </w:r>
      <w:r w:rsidRPr="00B4556B">
        <w:rPr>
          <w:lang w:val="hy-AM"/>
        </w:rPr>
        <w:t>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7BC7C9CE" w14:textId="3F5080F5" w:rsidR="00AF697A" w:rsidRPr="00EC6166" w:rsidRDefault="00B62455" w:rsidP="00EC6166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363A0CAF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համայն</w:t>
      </w:r>
      <w:r w:rsidR="000D02D8">
        <w:rPr>
          <w:rFonts w:cs="Sylfaen"/>
          <w:lang w:val="hy-AM"/>
        </w:rPr>
        <w:t>ք</w:t>
      </w:r>
      <w:r w:rsidR="00181883" w:rsidRPr="00331C0D">
        <w:rPr>
          <w:rFonts w:cs="Sylfaen"/>
          <w:lang w:val="hy-AM"/>
        </w:rPr>
        <w:t>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198AF86" w14:textId="31B394E4" w:rsidR="006E70DF" w:rsidRDefault="00331C0D" w:rsidP="0076402B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37345DD2" w14:textId="77777777" w:rsidR="006E70DF" w:rsidRPr="002B2C7D" w:rsidRDefault="006E70DF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proofErr w:type="spellStart"/>
      <w:r w:rsidRPr="003F2F58">
        <w:rPr>
          <w:rFonts w:cs="Sylfaen"/>
          <w:b/>
        </w:rPr>
        <w:t>Կապիտալ</w:t>
      </w:r>
      <w:proofErr w:type="spellEnd"/>
      <w:r w:rsidRPr="003F2F58">
        <w:rPr>
          <w:rFonts w:cs="Sylfaen"/>
          <w:b/>
        </w:rPr>
        <w:t xml:space="preserve"> </w:t>
      </w:r>
      <w:proofErr w:type="spellStart"/>
      <w:r w:rsidRPr="003F2F58">
        <w:rPr>
          <w:rFonts w:cs="Sylfaen"/>
          <w:b/>
        </w:rPr>
        <w:t>ծրագրեր</w:t>
      </w:r>
      <w:proofErr w:type="spellEnd"/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proofErr w:type="spellStart"/>
            <w:proofErr w:type="gramStart"/>
            <w:r w:rsidRPr="003F2F58">
              <w:rPr>
                <w:rFonts w:cs="Sylfaen"/>
              </w:rPr>
              <w:t>Մինչև</w:t>
            </w:r>
            <w:proofErr w:type="spellEnd"/>
            <w:r w:rsidRPr="003F2F58">
              <w:rPr>
                <w:rFonts w:cs="Sylfaen"/>
              </w:rPr>
              <w:t xml:space="preserve">  </w:t>
            </w:r>
            <w:proofErr w:type="spellStart"/>
            <w:r w:rsidRPr="003F2F58">
              <w:rPr>
                <w:rFonts w:cs="Sylfaen"/>
              </w:rPr>
              <w:t>խոշորացումը</w:t>
            </w:r>
            <w:proofErr w:type="spellEnd"/>
            <w:proofErr w:type="gramEnd"/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proofErr w:type="spellStart"/>
            <w:r w:rsidRPr="003F2F58">
              <w:rPr>
                <w:rFonts w:cs="Sylfaen"/>
              </w:rPr>
              <w:t>Խոշորացումից</w:t>
            </w:r>
            <w:proofErr w:type="spellEnd"/>
            <w:r w:rsidRPr="003F2F58">
              <w:rPr>
                <w:rFonts w:cs="Sylfaen"/>
              </w:rPr>
              <w:t xml:space="preserve"> </w:t>
            </w:r>
            <w:proofErr w:type="spellStart"/>
            <w:r w:rsidRPr="003F2F58">
              <w:rPr>
                <w:rFonts w:cs="Sylfaen"/>
              </w:rPr>
              <w:t>հետո</w:t>
            </w:r>
            <w:proofErr w:type="spellEnd"/>
          </w:p>
        </w:tc>
      </w:tr>
      <w:tr w:rsidR="00144CAB" w:rsidRPr="00F6148B" w14:paraId="1040EE67" w14:textId="77777777" w:rsidTr="0098192D">
        <w:trPr>
          <w:trHeight w:val="1833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Ջրաբեր բնակավայրում՝ կատարվել են համայնքի գեոդեզիական և քարտեզագրման </w:t>
            </w:r>
            <w:r w:rsidRPr="006F5678">
              <w:rPr>
                <w:bCs/>
                <w:lang w:val="hy-AM"/>
              </w:rPr>
              <w:lastRenderedPageBreak/>
              <w:t>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lastRenderedPageBreak/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39B7DD19" w:rsidR="009F5B69" w:rsidRPr="00F6148B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F6148B">
              <w:rPr>
                <w:bCs/>
                <w:lang w:val="hy-AM"/>
              </w:rPr>
              <w:t xml:space="preserve">       </w:t>
            </w:r>
            <w:r w:rsidR="0098192D" w:rsidRPr="00F6148B">
              <w:rPr>
                <w:bCs/>
                <w:lang w:val="hy-AM"/>
              </w:rPr>
              <w:t>11</w:t>
            </w:r>
            <w:r w:rsidR="009F5B69" w:rsidRPr="00F6148B">
              <w:rPr>
                <w:bCs/>
                <w:lang w:val="hy-AM"/>
              </w:rPr>
              <w:t>.</w:t>
            </w:r>
            <w:r w:rsidR="0098192D" w:rsidRPr="00F6148B">
              <w:rPr>
                <w:bCs/>
                <w:lang w:val="hy-AM"/>
              </w:rPr>
              <w:t xml:space="preserve"> </w:t>
            </w:r>
            <w:r w:rsidRPr="00F6148B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F6148B">
              <w:rPr>
                <w:bCs/>
                <w:lang w:val="hy-AM"/>
              </w:rPr>
              <w:t xml:space="preserve">՝ </w:t>
            </w:r>
            <w:r w:rsidR="0029710B" w:rsidRPr="00F6148B">
              <w:rPr>
                <w:bCs/>
                <w:lang w:val="hy-AM"/>
              </w:rPr>
              <w:t>55 999,0</w:t>
            </w:r>
            <w:r w:rsidR="009F5B69" w:rsidRPr="00F6148B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50C190B9" w14:textId="77777777" w:rsidR="0076402B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«Հավերժության» պուրակի կառուցում՝ </w:t>
            </w:r>
            <w:r w:rsidR="0098192D" w:rsidRPr="0098192D">
              <w:rPr>
                <w:b/>
                <w:lang w:val="hy-AM"/>
              </w:rPr>
              <w:t xml:space="preserve">8 272,7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դրամ:</w:t>
            </w:r>
          </w:p>
          <w:p w14:paraId="4C609AC4" w14:textId="36817645" w:rsidR="000D1CDF" w:rsidRDefault="0076402B" w:rsidP="00085582">
            <w:pPr>
              <w:ind w:firstLine="0"/>
              <w:jc w:val="both"/>
              <w:rPr>
                <w:bCs/>
                <w:lang w:val="hy-AM"/>
              </w:rPr>
            </w:pPr>
            <w:r w:rsidRPr="007E3913">
              <w:rPr>
                <w:bCs/>
                <w:lang w:val="hy-AM"/>
              </w:rPr>
              <w:t xml:space="preserve">      </w:t>
            </w:r>
            <w:r w:rsidRPr="00F6148B">
              <w:rPr>
                <w:bCs/>
                <w:lang w:val="hy-AM"/>
              </w:rPr>
              <w:t xml:space="preserve">18. Մարզադպրոցի կառուցում` </w:t>
            </w:r>
            <w:r w:rsidR="0029710B" w:rsidRPr="00F6148B">
              <w:rPr>
                <w:b/>
                <w:lang w:val="hy-AM"/>
              </w:rPr>
              <w:t>241 696,9</w:t>
            </w:r>
            <w:r w:rsidR="00BF3A83" w:rsidRPr="00F6148B">
              <w:rPr>
                <w:b/>
                <w:lang w:val="hy-AM"/>
              </w:rPr>
              <w:t xml:space="preserve"> </w:t>
            </w:r>
            <w:r w:rsidR="001251CB" w:rsidRPr="00F6148B">
              <w:rPr>
                <w:bCs/>
                <w:lang w:val="hy-AM"/>
              </w:rPr>
              <w:t>հազ. դրամ</w:t>
            </w:r>
            <w:r w:rsidRPr="00F6148B">
              <w:rPr>
                <w:bCs/>
                <w:lang w:val="hy-AM"/>
              </w:rPr>
              <w:t>:</w:t>
            </w:r>
          </w:p>
          <w:p w14:paraId="636C6F3D" w14:textId="159B44C3" w:rsidR="000D1CDF" w:rsidRDefault="000D1CDF" w:rsidP="00085582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19.</w:t>
            </w:r>
            <w:r w:rsidR="003D0D37">
              <w:rPr>
                <w:bCs/>
                <w:lang w:val="hy-AM"/>
              </w:rPr>
              <w:t xml:space="preserve"> </w:t>
            </w:r>
            <w:r w:rsidRPr="000D1CDF">
              <w:rPr>
                <w:bCs/>
                <w:lang w:val="hy-AM"/>
              </w:rPr>
              <w:t xml:space="preserve">ԿԱՄԱԶ մակնիշի հատուկ աղբատար տրանսպորտային միջոցի ձեռք բերում՝ </w:t>
            </w:r>
            <w:r w:rsidRPr="000D1CDF">
              <w:rPr>
                <w:b/>
                <w:lang w:val="hy-AM"/>
              </w:rPr>
              <w:t>37 000</w:t>
            </w:r>
            <w:r w:rsidR="001251CB" w:rsidRPr="001251CB">
              <w:rPr>
                <w:b/>
                <w:lang w:val="hy-AM"/>
              </w:rPr>
              <w:t>,</w:t>
            </w:r>
            <w:r w:rsidRPr="000D1CDF">
              <w:rPr>
                <w:b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4DB39AED" w14:textId="5493A045" w:rsidR="00BF3A83" w:rsidRDefault="000D1CDF" w:rsidP="00BF3A83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2</w:t>
            </w:r>
            <w:r w:rsidR="003D0D37">
              <w:rPr>
                <w:bCs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. «Անդրանիկ Պետրոսյանի անվան Բյուրեղավանի քաղաքային պոլիկլինիկա» ՓԲԸ-ի համար բժշկական սարքավորումների ձեռք բերում ՝ </w:t>
            </w:r>
            <w:r w:rsidRPr="000D1CDF">
              <w:rPr>
                <w:b/>
                <w:lang w:val="hy-AM"/>
              </w:rPr>
              <w:t>1</w:t>
            </w:r>
            <w:r w:rsidR="00F6148B" w:rsidRPr="00F6148B">
              <w:rPr>
                <w:b/>
                <w:lang w:val="hy-AM"/>
              </w:rPr>
              <w:t>9</w:t>
            </w:r>
            <w:r w:rsidRPr="000D1CDF">
              <w:rPr>
                <w:b/>
                <w:lang w:val="hy-AM"/>
              </w:rPr>
              <w:t xml:space="preserve"> 815</w:t>
            </w:r>
            <w:r w:rsidR="001251CB" w:rsidRPr="001251CB">
              <w:rPr>
                <w:b/>
                <w:lang w:val="hy-AM"/>
              </w:rPr>
              <w:t>,0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677F2424" w14:textId="72FC3F83" w:rsidR="000D5FB0" w:rsidRDefault="000D5FB0" w:rsidP="000D5FB0">
            <w:pPr>
              <w:ind w:firstLine="0"/>
              <w:jc w:val="both"/>
              <w:rPr>
                <w:lang w:val="hy-AM"/>
              </w:rPr>
            </w:pPr>
            <w:r w:rsidRPr="000D5FB0">
              <w:rPr>
                <w:lang w:val="hy-AM"/>
              </w:rPr>
              <w:t xml:space="preserve">      22</w:t>
            </w:r>
            <w:r w:rsidRPr="000D5FB0">
              <w:rPr>
                <w:rFonts w:ascii="Cambria Math" w:hAnsi="Cambria Math" w:cs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Փողոցային լուսավորության լամպերի ձեռք բերում՝ </w:t>
            </w:r>
            <w:r w:rsidRPr="00C90A95">
              <w:rPr>
                <w:b/>
                <w:bCs/>
                <w:lang w:val="hy-AM"/>
              </w:rPr>
              <w:t>982,0</w:t>
            </w:r>
            <w:r w:rsidRPr="000D5FB0">
              <w:rPr>
                <w:lang w:val="hy-AM"/>
              </w:rPr>
              <w:t xml:space="preserve"> 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0F927A99" w14:textId="122035B0" w:rsidR="0029710B" w:rsidRPr="0029710B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 23.Լուսացույցի ձեռք բերում և տեղադրում՝ </w:t>
            </w:r>
            <w:r w:rsidRPr="0029710B">
              <w:rPr>
                <w:b/>
                <w:bCs/>
                <w:lang w:val="hy-AM"/>
              </w:rPr>
              <w:t>1 963,9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160D1DE7" w14:textId="1272BD5D" w:rsidR="0029710B" w:rsidRPr="000D5FB0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24. Բյուրեղավան քաղաքի 27 և 28 շենքերի կոյուղագծի կառուցում՝ </w:t>
            </w:r>
            <w:r w:rsidRPr="0029710B">
              <w:rPr>
                <w:b/>
                <w:bCs/>
                <w:lang w:val="hy-AM"/>
              </w:rPr>
              <w:t>1</w:t>
            </w:r>
            <w:r w:rsidR="00F6148B" w:rsidRPr="00F6148B">
              <w:rPr>
                <w:b/>
                <w:bCs/>
                <w:lang w:val="hy-AM"/>
              </w:rPr>
              <w:t>4</w:t>
            </w:r>
            <w:r w:rsidRPr="0029710B">
              <w:rPr>
                <w:b/>
                <w:bCs/>
                <w:lang w:val="hy-AM"/>
              </w:rPr>
              <w:t xml:space="preserve"> </w:t>
            </w:r>
            <w:r w:rsidR="00F6148B" w:rsidRPr="00F6148B">
              <w:rPr>
                <w:b/>
                <w:bCs/>
                <w:lang w:val="hy-AM"/>
              </w:rPr>
              <w:t>557</w:t>
            </w:r>
            <w:r w:rsidRPr="0029710B">
              <w:rPr>
                <w:b/>
                <w:bCs/>
                <w:lang w:val="hy-AM"/>
              </w:rPr>
              <w:t>,8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</w:tc>
      </w:tr>
    </w:tbl>
    <w:p w14:paraId="3767D512" w14:textId="6C27BB2E" w:rsidR="006F5678" w:rsidRDefault="006F5678" w:rsidP="009E726C">
      <w:pPr>
        <w:jc w:val="both"/>
        <w:rPr>
          <w:color w:val="FF0000"/>
          <w:lang w:val="hy-AM"/>
        </w:rPr>
      </w:pPr>
    </w:p>
    <w:p w14:paraId="737D3CE0" w14:textId="5536A992" w:rsidR="000D1CDF" w:rsidRDefault="003E3129" w:rsidP="009E726C">
      <w:pPr>
        <w:jc w:val="both"/>
        <w:rPr>
          <w:bCs/>
          <w:lang w:val="hy-AM"/>
        </w:rPr>
      </w:pPr>
      <w:r w:rsidRPr="00A73528">
        <w:rPr>
          <w:bCs/>
          <w:lang w:val="hy-AM"/>
        </w:rPr>
        <w:t>202</w:t>
      </w:r>
      <w:r w:rsidR="000D1CDF" w:rsidRPr="000D1CDF">
        <w:rPr>
          <w:bCs/>
          <w:lang w:val="hy-AM"/>
        </w:rPr>
        <w:t>4</w:t>
      </w:r>
      <w:r w:rsidRPr="00A73528">
        <w:rPr>
          <w:bCs/>
          <w:lang w:val="hy-AM"/>
        </w:rPr>
        <w:t xml:space="preserve"> թվականին Բյուրեղավան</w:t>
      </w:r>
      <w:r w:rsidR="00F33556">
        <w:rPr>
          <w:bCs/>
          <w:lang w:val="hy-AM"/>
        </w:rPr>
        <w:t xml:space="preserve"> </w:t>
      </w:r>
      <w:r w:rsidRPr="00A73528">
        <w:rPr>
          <w:bCs/>
          <w:lang w:val="hy-AM"/>
        </w:rPr>
        <w:t xml:space="preserve">համայնքում նախատեսվում է իրականացնել </w:t>
      </w:r>
      <w:r w:rsidR="000D1CDF" w:rsidRPr="00F33556">
        <w:rPr>
          <w:bCs/>
          <w:lang w:val="hy-AM"/>
        </w:rPr>
        <w:t>4</w:t>
      </w:r>
      <w:r w:rsidRPr="00A73528">
        <w:rPr>
          <w:bCs/>
          <w:lang w:val="hy-AM"/>
        </w:rPr>
        <w:t xml:space="preserve"> սուբվենցիոն ծրագիր՝ </w:t>
      </w:r>
      <w:r w:rsidR="0098192D" w:rsidRPr="00A73528">
        <w:rPr>
          <w:bCs/>
          <w:lang w:val="hy-AM"/>
        </w:rPr>
        <w:t xml:space="preserve"> </w:t>
      </w:r>
    </w:p>
    <w:p w14:paraId="789A71BC" w14:textId="2C1EA1E9" w:rsidR="000D1CDF" w:rsidRPr="000D1CDF" w:rsidRDefault="000D1CDF" w:rsidP="000D1CDF">
      <w:pPr>
        <w:jc w:val="both"/>
        <w:rPr>
          <w:bCs/>
          <w:lang w:val="hy-AM"/>
        </w:rPr>
      </w:pPr>
      <w:r w:rsidRPr="000D1CDF">
        <w:rPr>
          <w:bCs/>
          <w:lang w:val="hy-AM"/>
        </w:rPr>
        <w:t>«</w:t>
      </w:r>
      <w:r w:rsidR="003E3129" w:rsidRPr="00A73528">
        <w:rPr>
          <w:bCs/>
          <w:lang w:val="hy-AM"/>
        </w:rPr>
        <w:t xml:space="preserve">Բյուրեղավան բնակավայրի մարզադպրոցի </w:t>
      </w:r>
      <w:r w:rsidR="00BD737B" w:rsidRPr="00A73528">
        <w:rPr>
          <w:bCs/>
          <w:lang w:val="hy-AM"/>
        </w:rPr>
        <w:t>կառուցման աշխատանքներ</w:t>
      </w:r>
      <w:r w:rsidRPr="000D1CDF">
        <w:rPr>
          <w:bCs/>
          <w:lang w:val="hy-AM"/>
        </w:rPr>
        <w:t>»,</w:t>
      </w:r>
    </w:p>
    <w:p w14:paraId="27F681DE" w14:textId="2E36314D" w:rsidR="000D1CDF" w:rsidRPr="000D1CDF" w:rsidRDefault="000D1CDF" w:rsidP="009E726C">
      <w:pPr>
        <w:jc w:val="both"/>
        <w:rPr>
          <w:bCs/>
          <w:lang w:val="hy-AM"/>
        </w:rPr>
      </w:pPr>
      <w:r w:rsidRPr="000D1CDF">
        <w:rPr>
          <w:bCs/>
          <w:lang w:val="hy-AM"/>
        </w:rPr>
        <w:lastRenderedPageBreak/>
        <w:t>«Բյուրեղավան համայնքի Բյուրեղավան քաղաքի, Նուռնուս և Ջրաբեր գյուղերի փողոցների, ճանապարհների, բնակելի շենքերի բակերի բարեկարգման և ասֆալտապատման աշխատանքներ»</w:t>
      </w:r>
      <w:r w:rsidRPr="000D1CDF">
        <w:rPr>
          <w:rFonts w:ascii="Calibri" w:hAnsi="Calibri" w:cs="Calibri"/>
          <w:bCs/>
          <w:lang w:val="hy-AM"/>
        </w:rPr>
        <w:t> </w:t>
      </w:r>
      <w:r w:rsidRPr="000D1CDF">
        <w:rPr>
          <w:bCs/>
          <w:lang w:val="hy-AM"/>
        </w:rPr>
        <w:t>,</w:t>
      </w:r>
    </w:p>
    <w:p w14:paraId="211EF272" w14:textId="2AF2A743" w:rsidR="000D1CDF" w:rsidRPr="000D1CDF" w:rsidRDefault="000D1CDF" w:rsidP="000D1CDF">
      <w:pPr>
        <w:jc w:val="both"/>
        <w:rPr>
          <w:bCs/>
          <w:lang w:val="hy-AM"/>
        </w:rPr>
      </w:pPr>
      <w:r w:rsidRPr="000D1CDF">
        <w:rPr>
          <w:bCs/>
          <w:lang w:val="hy-AM"/>
        </w:rPr>
        <w:t>«Բյուրեղավանում ոռոգման համակարգի ներքին ցանցի վերանորոգման և կառուցման աշխատանքներ»</w:t>
      </w:r>
      <w:r w:rsidR="003D0D37">
        <w:rPr>
          <w:bCs/>
          <w:lang w:val="hy-AM"/>
        </w:rPr>
        <w:t>։</w:t>
      </w:r>
    </w:p>
    <w:p w14:paraId="7FFB4873" w14:textId="77777777" w:rsidR="000D1CDF" w:rsidRPr="00511575" w:rsidRDefault="000D1CDF" w:rsidP="009E726C">
      <w:pPr>
        <w:jc w:val="both"/>
        <w:rPr>
          <w:bCs/>
          <w:lang w:val="hy-AM"/>
        </w:rPr>
      </w:pPr>
    </w:p>
    <w:p w14:paraId="2C68C5E1" w14:textId="1EA3D1EB" w:rsidR="00F62651" w:rsidRPr="00511575" w:rsidRDefault="00F6148B" w:rsidP="00511575">
      <w:pPr>
        <w:jc w:val="both"/>
        <w:rPr>
          <w:bCs/>
          <w:lang w:val="hy-AM"/>
        </w:rPr>
      </w:pPr>
      <w:r w:rsidRPr="000D1CDF">
        <w:rPr>
          <w:bCs/>
          <w:lang w:val="hy-AM"/>
        </w:rPr>
        <w:t>«Բյուրեղավանում ոռոգման համակարգի ներքին ցանցի վերանորոգման և կառուցման աշխատանքներ»</w:t>
      </w:r>
      <w:r>
        <w:rPr>
          <w:bCs/>
          <w:lang w:val="hy-AM"/>
        </w:rPr>
        <w:t>-ն ավարտվել են</w:t>
      </w:r>
      <w:r w:rsidRPr="00F6148B">
        <w:rPr>
          <w:bCs/>
          <w:lang w:val="hy-AM"/>
        </w:rPr>
        <w:t xml:space="preserve">: </w:t>
      </w:r>
      <w:r w:rsidRPr="000D1CDF">
        <w:rPr>
          <w:bCs/>
          <w:lang w:val="hy-AM"/>
        </w:rPr>
        <w:t>«Բյուրեղավան համայնքի Բյուրեղավան քաղաքի, Նուռնուս և Ջրաբեր գյուղերի փողոցների, ճանապարհների, բնակելի շենքերի բակերի բարեկարգման և ասֆալտապատման աշխատանքներ»</w:t>
      </w:r>
      <w:r w:rsidRPr="00511575">
        <w:rPr>
          <w:rFonts w:ascii="Calibri" w:hAnsi="Calibri" w:cs="Calibri"/>
          <w:bCs/>
          <w:lang w:val="hy-AM"/>
        </w:rPr>
        <w:t> </w:t>
      </w:r>
      <w:r w:rsidRPr="00511575">
        <w:rPr>
          <w:bCs/>
          <w:lang w:val="hy-AM"/>
        </w:rPr>
        <w:t xml:space="preserve">, սուբվենցիոն ծրագրի մաս կազմող </w:t>
      </w:r>
      <w:r w:rsidRPr="000D1CDF">
        <w:rPr>
          <w:bCs/>
          <w:lang w:val="hy-AM"/>
        </w:rPr>
        <w:t>«Բյուրեղավան համայնքի Բյուրեղավան քաղաքի, Նուռնուս և Ջրաբեր գյուղերի փողոցների</w:t>
      </w:r>
      <w:r>
        <w:rPr>
          <w:bCs/>
          <w:lang w:val="hy-AM"/>
        </w:rPr>
        <w:t xml:space="preserve"> </w:t>
      </w:r>
      <w:r w:rsidRPr="00511575">
        <w:rPr>
          <w:bCs/>
          <w:lang w:val="hy-AM"/>
        </w:rPr>
        <w:t>սալարկման աշխատանքներ</w:t>
      </w:r>
      <w:r w:rsidRPr="000D1CDF">
        <w:rPr>
          <w:bCs/>
          <w:lang w:val="hy-AM"/>
        </w:rPr>
        <w:t>»</w:t>
      </w:r>
      <w:r w:rsidRPr="00511575">
        <w:rPr>
          <w:bCs/>
          <w:lang w:val="hy-AM"/>
        </w:rPr>
        <w:t xml:space="preserve"> ծրագիրը</w:t>
      </w:r>
      <w:r>
        <w:rPr>
          <w:bCs/>
          <w:lang w:val="hy-AM"/>
        </w:rPr>
        <w:t xml:space="preserve"> </w:t>
      </w:r>
      <w:r w:rsidR="00511575">
        <w:rPr>
          <w:bCs/>
          <w:lang w:val="hy-AM"/>
        </w:rPr>
        <w:t>գնման գործընթացի</w:t>
      </w:r>
      <w:r>
        <w:rPr>
          <w:bCs/>
          <w:lang w:val="hy-AM"/>
        </w:rPr>
        <w:t xml:space="preserve"> փուլում է։</w:t>
      </w:r>
      <w:r w:rsidR="00511575">
        <w:rPr>
          <w:bCs/>
          <w:lang w:val="hy-AM"/>
        </w:rPr>
        <w:t xml:space="preserve"> </w:t>
      </w:r>
      <w:r w:rsidR="003D0D37" w:rsidRPr="00511575">
        <w:rPr>
          <w:bCs/>
          <w:lang w:val="hy-AM"/>
        </w:rPr>
        <w:t>2023-</w:t>
      </w:r>
      <w:r w:rsidR="00A73528" w:rsidRPr="00511575">
        <w:rPr>
          <w:bCs/>
          <w:lang w:val="hy-AM"/>
        </w:rPr>
        <w:t>202</w:t>
      </w:r>
      <w:r w:rsidR="00F33556" w:rsidRPr="00511575">
        <w:rPr>
          <w:bCs/>
          <w:lang w:val="hy-AM"/>
        </w:rPr>
        <w:t>4</w:t>
      </w:r>
      <w:r w:rsidR="00A73528" w:rsidRPr="00511575">
        <w:rPr>
          <w:bCs/>
          <w:lang w:val="hy-AM"/>
        </w:rPr>
        <w:t xml:space="preserve"> թվական</w:t>
      </w:r>
      <w:r w:rsidR="003D0D37" w:rsidRPr="00511575">
        <w:rPr>
          <w:bCs/>
          <w:lang w:val="hy-AM"/>
        </w:rPr>
        <w:t>ներ</w:t>
      </w:r>
      <w:r w:rsidR="00A73528" w:rsidRPr="00511575">
        <w:rPr>
          <w:bCs/>
          <w:lang w:val="hy-AM"/>
        </w:rPr>
        <w:t xml:space="preserve">ին մարզադպրոցի կառուցման </w:t>
      </w:r>
      <w:r w:rsidR="00F33556" w:rsidRPr="00511575">
        <w:rPr>
          <w:bCs/>
          <w:lang w:val="hy-AM"/>
        </w:rPr>
        <w:t xml:space="preserve">1-ին փուլի </w:t>
      </w:r>
      <w:r w:rsidR="00A73528" w:rsidRPr="00511575">
        <w:rPr>
          <w:bCs/>
          <w:lang w:val="hy-AM"/>
        </w:rPr>
        <w:t>աշխատանքնե</w:t>
      </w:r>
      <w:r w:rsidR="00F33556" w:rsidRPr="00511575">
        <w:rPr>
          <w:bCs/>
          <w:lang w:val="hy-AM"/>
        </w:rPr>
        <w:t>ր</w:t>
      </w:r>
      <w:r w:rsidR="00511575">
        <w:rPr>
          <w:bCs/>
          <w:lang w:val="hy-AM"/>
        </w:rPr>
        <w:t>ը</w:t>
      </w:r>
      <w:r>
        <w:rPr>
          <w:bCs/>
          <w:lang w:val="hy-AM"/>
        </w:rPr>
        <w:t xml:space="preserve"> գրեթե ավարտվել են</w:t>
      </w:r>
      <w:r w:rsidR="00511575">
        <w:rPr>
          <w:bCs/>
          <w:lang w:val="hy-AM"/>
        </w:rPr>
        <w:t>՝</w:t>
      </w:r>
      <w:r w:rsidR="00A73528" w:rsidRPr="00A73528">
        <w:rPr>
          <w:bCs/>
          <w:lang w:val="hy-AM"/>
        </w:rPr>
        <w:t xml:space="preserve"> </w:t>
      </w:r>
      <w:r w:rsidRPr="00511575">
        <w:rPr>
          <w:bCs/>
          <w:lang w:val="hy-AM"/>
        </w:rPr>
        <w:t>97%</w:t>
      </w:r>
      <w:r w:rsidR="00511575">
        <w:rPr>
          <w:bCs/>
          <w:lang w:val="hy-AM"/>
        </w:rPr>
        <w:t>։</w:t>
      </w:r>
    </w:p>
    <w:sectPr w:rsidR="00F62651" w:rsidRPr="00511575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F771" w14:textId="77777777" w:rsidR="00112FEA" w:rsidRDefault="00112FEA" w:rsidP="00F34DAB">
      <w:pPr>
        <w:spacing w:line="240" w:lineRule="auto"/>
      </w:pPr>
      <w:r>
        <w:separator/>
      </w:r>
    </w:p>
  </w:endnote>
  <w:endnote w:type="continuationSeparator" w:id="0">
    <w:p w14:paraId="0CEB926A" w14:textId="77777777" w:rsidR="00112FEA" w:rsidRDefault="00112FEA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10CD" w14:textId="77777777" w:rsidR="00112FEA" w:rsidRDefault="00112FEA" w:rsidP="00F34DAB">
      <w:pPr>
        <w:spacing w:line="240" w:lineRule="auto"/>
      </w:pPr>
      <w:r>
        <w:separator/>
      </w:r>
    </w:p>
  </w:footnote>
  <w:footnote w:type="continuationSeparator" w:id="0">
    <w:p w14:paraId="3C889FBD" w14:textId="77777777" w:rsidR="00112FEA" w:rsidRDefault="00112FEA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D"/>
    <w:rsid w:val="00017596"/>
    <w:rsid w:val="000203C9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D02D8"/>
    <w:rsid w:val="000D1CDF"/>
    <w:rsid w:val="000D2E15"/>
    <w:rsid w:val="000D5FB0"/>
    <w:rsid w:val="00100B3C"/>
    <w:rsid w:val="0011196B"/>
    <w:rsid w:val="00112FEA"/>
    <w:rsid w:val="00123E28"/>
    <w:rsid w:val="001251CB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7F21"/>
    <w:rsid w:val="001F69CE"/>
    <w:rsid w:val="00202524"/>
    <w:rsid w:val="00233D2C"/>
    <w:rsid w:val="00254A10"/>
    <w:rsid w:val="00263D80"/>
    <w:rsid w:val="0029710B"/>
    <w:rsid w:val="002A695E"/>
    <w:rsid w:val="002B2C7D"/>
    <w:rsid w:val="002C1B23"/>
    <w:rsid w:val="002C34E8"/>
    <w:rsid w:val="002E0173"/>
    <w:rsid w:val="002E6303"/>
    <w:rsid w:val="00322BB0"/>
    <w:rsid w:val="00324EA6"/>
    <w:rsid w:val="00331C0D"/>
    <w:rsid w:val="003332B8"/>
    <w:rsid w:val="00343640"/>
    <w:rsid w:val="00352923"/>
    <w:rsid w:val="00361A9B"/>
    <w:rsid w:val="00366A6E"/>
    <w:rsid w:val="00367E2C"/>
    <w:rsid w:val="0038015C"/>
    <w:rsid w:val="003A478C"/>
    <w:rsid w:val="003B1743"/>
    <w:rsid w:val="003B1DFB"/>
    <w:rsid w:val="003B7284"/>
    <w:rsid w:val="003C0A01"/>
    <w:rsid w:val="003D0D37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672B3"/>
    <w:rsid w:val="004751DF"/>
    <w:rsid w:val="00483799"/>
    <w:rsid w:val="004A4133"/>
    <w:rsid w:val="004C1A03"/>
    <w:rsid w:val="004C1B9F"/>
    <w:rsid w:val="004D582D"/>
    <w:rsid w:val="004D67A2"/>
    <w:rsid w:val="004F3BB1"/>
    <w:rsid w:val="00511575"/>
    <w:rsid w:val="00514721"/>
    <w:rsid w:val="00527730"/>
    <w:rsid w:val="00531296"/>
    <w:rsid w:val="00557C3D"/>
    <w:rsid w:val="0056149E"/>
    <w:rsid w:val="00597AF7"/>
    <w:rsid w:val="005A4F99"/>
    <w:rsid w:val="00624341"/>
    <w:rsid w:val="006307FF"/>
    <w:rsid w:val="00643153"/>
    <w:rsid w:val="00652F2D"/>
    <w:rsid w:val="00664CC3"/>
    <w:rsid w:val="00674EDF"/>
    <w:rsid w:val="006773DF"/>
    <w:rsid w:val="006C6228"/>
    <w:rsid w:val="006D612B"/>
    <w:rsid w:val="006D6729"/>
    <w:rsid w:val="006E70DF"/>
    <w:rsid w:val="006F5678"/>
    <w:rsid w:val="007227DB"/>
    <w:rsid w:val="007359A4"/>
    <w:rsid w:val="007467A5"/>
    <w:rsid w:val="0076402B"/>
    <w:rsid w:val="007B0C32"/>
    <w:rsid w:val="007B30F7"/>
    <w:rsid w:val="007B670D"/>
    <w:rsid w:val="007C11E9"/>
    <w:rsid w:val="007C76AF"/>
    <w:rsid w:val="007D3CAE"/>
    <w:rsid w:val="007E0BA5"/>
    <w:rsid w:val="007E3913"/>
    <w:rsid w:val="007F10D7"/>
    <w:rsid w:val="007F4103"/>
    <w:rsid w:val="007F55AA"/>
    <w:rsid w:val="0082381B"/>
    <w:rsid w:val="00832B13"/>
    <w:rsid w:val="00835CD1"/>
    <w:rsid w:val="00844659"/>
    <w:rsid w:val="00880FD1"/>
    <w:rsid w:val="00884A2F"/>
    <w:rsid w:val="00892885"/>
    <w:rsid w:val="008A6A00"/>
    <w:rsid w:val="008D3009"/>
    <w:rsid w:val="008E094A"/>
    <w:rsid w:val="0092108F"/>
    <w:rsid w:val="00926063"/>
    <w:rsid w:val="00940561"/>
    <w:rsid w:val="00951833"/>
    <w:rsid w:val="00966405"/>
    <w:rsid w:val="00970603"/>
    <w:rsid w:val="0098192D"/>
    <w:rsid w:val="00997526"/>
    <w:rsid w:val="009A5A75"/>
    <w:rsid w:val="009E726C"/>
    <w:rsid w:val="009F5B69"/>
    <w:rsid w:val="009F7DC1"/>
    <w:rsid w:val="00A00CA0"/>
    <w:rsid w:val="00A02F0E"/>
    <w:rsid w:val="00A060CC"/>
    <w:rsid w:val="00A13B0A"/>
    <w:rsid w:val="00A30311"/>
    <w:rsid w:val="00A63FC4"/>
    <w:rsid w:val="00A73528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4556B"/>
    <w:rsid w:val="00B50320"/>
    <w:rsid w:val="00B54849"/>
    <w:rsid w:val="00B62455"/>
    <w:rsid w:val="00B764D2"/>
    <w:rsid w:val="00B83551"/>
    <w:rsid w:val="00B84735"/>
    <w:rsid w:val="00B84FA1"/>
    <w:rsid w:val="00B96036"/>
    <w:rsid w:val="00B9640A"/>
    <w:rsid w:val="00BA6D13"/>
    <w:rsid w:val="00BB741D"/>
    <w:rsid w:val="00BC3C83"/>
    <w:rsid w:val="00BD1B5D"/>
    <w:rsid w:val="00BD31BB"/>
    <w:rsid w:val="00BD737B"/>
    <w:rsid w:val="00BF3A83"/>
    <w:rsid w:val="00BF5A6B"/>
    <w:rsid w:val="00C05D3D"/>
    <w:rsid w:val="00C07A9A"/>
    <w:rsid w:val="00C1745F"/>
    <w:rsid w:val="00C32038"/>
    <w:rsid w:val="00C442A5"/>
    <w:rsid w:val="00C47967"/>
    <w:rsid w:val="00C62140"/>
    <w:rsid w:val="00C73065"/>
    <w:rsid w:val="00C74A67"/>
    <w:rsid w:val="00C90A95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B74D4"/>
    <w:rsid w:val="00DC0EAF"/>
    <w:rsid w:val="00DD75B7"/>
    <w:rsid w:val="00DE391A"/>
    <w:rsid w:val="00DE410F"/>
    <w:rsid w:val="00DF135E"/>
    <w:rsid w:val="00E014FF"/>
    <w:rsid w:val="00E02B0B"/>
    <w:rsid w:val="00E15B42"/>
    <w:rsid w:val="00E15F59"/>
    <w:rsid w:val="00E36C02"/>
    <w:rsid w:val="00E40740"/>
    <w:rsid w:val="00E41C3A"/>
    <w:rsid w:val="00E60E5F"/>
    <w:rsid w:val="00E6515E"/>
    <w:rsid w:val="00E66611"/>
    <w:rsid w:val="00E74BB4"/>
    <w:rsid w:val="00E76206"/>
    <w:rsid w:val="00E91802"/>
    <w:rsid w:val="00EB6372"/>
    <w:rsid w:val="00EC1818"/>
    <w:rsid w:val="00EC2E1E"/>
    <w:rsid w:val="00EC6166"/>
    <w:rsid w:val="00EC6D59"/>
    <w:rsid w:val="00EF00FD"/>
    <w:rsid w:val="00EF367E"/>
    <w:rsid w:val="00F063C4"/>
    <w:rsid w:val="00F13D03"/>
    <w:rsid w:val="00F14FA9"/>
    <w:rsid w:val="00F156A5"/>
    <w:rsid w:val="00F244E8"/>
    <w:rsid w:val="00F33556"/>
    <w:rsid w:val="00F33CF0"/>
    <w:rsid w:val="00F34DAB"/>
    <w:rsid w:val="00F53CEC"/>
    <w:rsid w:val="00F60D52"/>
    <w:rsid w:val="00F6148B"/>
    <w:rsid w:val="00F62651"/>
    <w:rsid w:val="00F8080E"/>
    <w:rsid w:val="00F81F05"/>
    <w:rsid w:val="00F82139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24285F23-4FCF-4B11-803F-12A6033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styleId="ab">
    <w:name w:val="Emphasis"/>
    <w:basedOn w:val="a0"/>
    <w:uiPriority w:val="20"/>
    <w:qFormat/>
    <w:rsid w:val="00652F2D"/>
    <w:rPr>
      <w:i/>
      <w:iCs/>
    </w:rPr>
  </w:style>
  <w:style w:type="paragraph" w:styleId="ac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ad">
    <w:name w:val="Normal (Web)"/>
    <w:basedOn w:val="a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A53-A157-4D79-9DCF-47C085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User</cp:lastModifiedBy>
  <cp:revision>14</cp:revision>
  <cp:lastPrinted>2023-10-03T09:26:00Z</cp:lastPrinted>
  <dcterms:created xsi:type="dcterms:W3CDTF">2024-01-05T07:18:00Z</dcterms:created>
  <dcterms:modified xsi:type="dcterms:W3CDTF">2025-01-07T06:01:00Z</dcterms:modified>
</cp:coreProperties>
</file>