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E3BD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16"/>
          <w:szCs w:val="16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Ձև N 1-2</w:t>
      </w:r>
    </w:p>
    <w:p w14:paraId="120D8348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7D70475" wp14:editId="4ED2BE97">
            <wp:extent cx="831555" cy="792480"/>
            <wp:effectExtent l="0" t="0" r="6985" b="762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3" cy="7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2EC9" w14:textId="77777777" w:rsidR="00EC55CE" w:rsidRPr="004F18F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ՀԱՅԱՍՏԱՆԻ ՀԱՆՐԱՊԵՏՈՒԹ</w:t>
      </w:r>
    </w:p>
    <w:p w14:paraId="56798F63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ԿՈՏԱՅՔԻ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ՄԱՐԶԻ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ԲՅՈՒՐԵՂԱՎԱՆ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ՀԱՄԱՅՆՔ</w:t>
      </w:r>
    </w:p>
    <w:p w14:paraId="107EB5EA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(մարզը, համայնքը)</w:t>
      </w:r>
    </w:p>
    <w:p w14:paraId="68158987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ՆԱԽԱԳԾՄԱՆ ԹՈՒՅԼՏՎՈՒԹՅՈՒՆ</w:t>
      </w:r>
    </w:p>
    <w:p w14:paraId="1D49F0BD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(ՃԱՐՏԱՐԱՊԵՏԱՀԱՏԱԿԱԳԾԱՅԻՆ ԱՌԱՋԱԴՐԱՆՔ)</w:t>
      </w:r>
    </w:p>
    <w:p w14:paraId="38A53D54" w14:textId="77777777" w:rsidR="00EC55CE" w:rsidRPr="00C96CAD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N </w:t>
      </w:r>
      <w:r w:rsidR="00CF1DA6" w:rsidRPr="00CF1DA6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16</w:t>
      </w:r>
      <w:r w:rsidR="00C57B31" w:rsidRPr="00C57B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CF1DA6" w:rsidRPr="00CF1DA6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01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CF1DA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նոյեմբերի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20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</w:t>
      </w:r>
      <w:r w:rsidR="002B43F0" w:rsidRPr="00784AA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թ.</w:t>
      </w:r>
    </w:p>
    <w:p w14:paraId="362EA1F9" w14:textId="77777777" w:rsidR="005C2BF3" w:rsidRPr="00C96CAD" w:rsidRDefault="005C2BF3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36089ADC" w14:textId="77777777" w:rsidR="00EC55CE" w:rsidRPr="005C39A4" w:rsidRDefault="00EC55CE" w:rsidP="005E780C">
      <w:pPr>
        <w:shd w:val="clear" w:color="auto" w:fill="FFFFFF"/>
        <w:spacing w:after="0" w:line="240" w:lineRule="auto"/>
        <w:ind w:left="284" w:firstLine="91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</w:t>
      </w:r>
      <w:r w:rsidR="009E2DC9" w:rsidRPr="00C96CA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="00CF1DA6" w:rsidRPr="00CF1DA6">
        <w:rPr>
          <w:rFonts w:ascii="GHEA Mariam" w:hAnsi="GHEA Mariam" w:cs="Sylfaen"/>
          <w:b/>
          <w:sz w:val="18"/>
          <w:szCs w:val="18"/>
          <w:u w:val="single"/>
        </w:rPr>
        <w:t xml:space="preserve">բնակելի նպատակային նշանակության </w:t>
      </w:r>
      <w:r w:rsidR="007B0F24" w:rsidRPr="007B0F24">
        <w:rPr>
          <w:rFonts w:ascii="GHEA Mariam" w:hAnsi="GHEA Mariam" w:cs="Sylfaen"/>
          <w:b/>
          <w:sz w:val="18"/>
          <w:szCs w:val="18"/>
          <w:u w:val="single"/>
        </w:rPr>
        <w:t>2 (երկու)</w:t>
      </w:r>
      <w:r w:rsidR="007B0F24" w:rsidRPr="00C50D84">
        <w:rPr>
          <w:rFonts w:ascii="GHEA Mariam" w:hAnsi="GHEA Mariam" w:cs="Sylfaen"/>
        </w:rPr>
        <w:t xml:space="preserve"> </w:t>
      </w:r>
      <w:r w:rsidR="00CF1DA6" w:rsidRPr="00CF1DA6">
        <w:rPr>
          <w:rFonts w:ascii="GHEA Mariam" w:hAnsi="GHEA Mariam" w:cs="Sylfaen"/>
          <w:b/>
          <w:sz w:val="18"/>
          <w:szCs w:val="18"/>
          <w:u w:val="single"/>
        </w:rPr>
        <w:t>հարկանի բնակելի տան, ավտոտնակի և պարսպի</w:t>
      </w:r>
      <w:r w:rsidR="0011018B" w:rsidRPr="0011018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2B0FF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կառուցման</w:t>
      </w:r>
      <w:r w:rsidR="00CF1DA6" w:rsidRPr="005C39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</w:p>
    <w:p w14:paraId="0329B5C1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ուժեղացում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վերականգնում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գործառնական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նշանակության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փոփոխություն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722E59B1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                  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</w:p>
    <w:p w14:paraId="7733DE6D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բնորոշումը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հզորությունը</w:t>
      </w:r>
    </w:p>
    <w:p w14:paraId="1BE8E792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փաստաթղթերի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մշակման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14:paraId="51089C23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«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Աշխատանքային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»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,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II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կատեգորիա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______________________________</w:t>
      </w:r>
      <w:r w:rsidR="005C2BF3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</w:t>
      </w:r>
    </w:p>
    <w:p w14:paraId="525ACB39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96CA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ռիսկայնության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աստիճանը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կատեգ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որիան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նախագծման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փուլերը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003321C1" w14:textId="77777777" w:rsidR="00EC55CE" w:rsidRPr="009771B0" w:rsidRDefault="005D6D9A" w:rsidP="0067476B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Գտնվելու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վայրը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5C39A4" w:rsidRPr="005C39A4">
        <w:rPr>
          <w:rFonts w:ascii="GHEA Mariam" w:hAnsi="GHEA Mariam" w:cs="Sylfaen"/>
          <w:b/>
          <w:sz w:val="18"/>
          <w:szCs w:val="18"/>
          <w:u w:val="single"/>
        </w:rPr>
        <w:t>Հայաստանի Հանրապետության Կոտայքի մարզի համայնք Բյուրեղավան քաղաք Բյուրեղավան Սարալանջ թաղամաս 1-ին փողոց 41  (ծածկագիր՝ 07-003-0040-0068</w:t>
      </w:r>
      <w:r w:rsidR="005C39A4" w:rsidRPr="005C39A4">
        <w:rPr>
          <w:rFonts w:ascii="GHEA Mariam" w:hAnsi="GHEA Mariam" w:cs="Arial LatArm"/>
          <w:b/>
          <w:sz w:val="18"/>
          <w:szCs w:val="18"/>
          <w:u w:val="single"/>
        </w:rPr>
        <w:t xml:space="preserve">) </w:t>
      </w:r>
      <w:r w:rsidR="005C39A4" w:rsidRPr="005C39A4">
        <w:rPr>
          <w:rFonts w:ascii="GHEA Mariam" w:hAnsi="GHEA Mariam" w:cs="Arial LatArm"/>
          <w:b/>
          <w:sz w:val="18"/>
          <w:szCs w:val="18"/>
          <w:u w:val="single"/>
          <w:lang w:val="en-US"/>
        </w:rPr>
        <w:t>բնակելի</w:t>
      </w:r>
      <w:r w:rsidR="005C39A4" w:rsidRPr="005C39A4">
        <w:rPr>
          <w:rFonts w:ascii="GHEA Mariam" w:hAnsi="GHEA Mariam" w:cs="Arial LatArm"/>
        </w:rPr>
        <w:t xml:space="preserve"> </w:t>
      </w:r>
      <w:r w:rsidR="005E780C" w:rsidRPr="005E780C">
        <w:rPr>
          <w:rFonts w:ascii="Arial Unicode" w:hAnsi="Arial Unicode"/>
          <w:b/>
          <w:color w:val="000000"/>
          <w:sz w:val="18"/>
          <w:szCs w:val="18"/>
          <w:u w:val="single"/>
          <w:lang w:eastAsia="ru-RU"/>
        </w:rPr>
        <w:t>կառուցապատման</w:t>
      </w:r>
      <w:r w:rsidR="00784AAC" w:rsidRPr="00784AAC">
        <w:rPr>
          <w:rFonts w:ascii="Arial Unicode" w:hAnsi="Arial Unicode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5E780C" w:rsidRPr="005E780C">
        <w:rPr>
          <w:rFonts w:ascii="Arial Unicode" w:hAnsi="Arial Unicode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5E780C" w:rsidRPr="005E780C">
        <w:rPr>
          <w:rFonts w:ascii="Arial Unicode" w:hAnsi="Arial Unicode" w:cs="Sylfaen"/>
          <w:b/>
          <w:sz w:val="18"/>
          <w:szCs w:val="18"/>
          <w:u w:val="single"/>
        </w:rPr>
        <w:t>հողամաս</w:t>
      </w:r>
      <w:r w:rsidR="005E780C" w:rsidRPr="0037132E">
        <w:rPr>
          <w:rFonts w:ascii="Arial Unicode" w:hAnsi="Arial Unicode" w:cs="Sylfaen"/>
          <w:b/>
          <w:sz w:val="18"/>
          <w:szCs w:val="18"/>
          <w:u w:val="single"/>
        </w:rPr>
        <w:t xml:space="preserve"> </w:t>
      </w:r>
    </w:p>
    <w:p w14:paraId="44A286A3" w14:textId="77777777"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փողոցի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անվանումները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շենքի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ծածկագիրը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2A13E46C" w14:textId="2EB14F1D" w:rsidR="00EC55CE" w:rsidRPr="00C36531" w:rsidRDefault="00EC55CE" w:rsidP="00784AAC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C57B31">
        <w:rPr>
          <w:rFonts w:ascii="GHEA Mariam" w:hAnsi="GHEA Mariam" w:cs="Sylfaen"/>
          <w:b/>
          <w:sz w:val="18"/>
          <w:szCs w:val="18"/>
          <w:u w:val="single"/>
          <w:lang w:val="en-US"/>
        </w:rPr>
        <w:t>Մովսես</w:t>
      </w:r>
      <w:r w:rsidR="00C57B31" w:rsidRPr="00C57B3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C57B31">
        <w:rPr>
          <w:rFonts w:ascii="GHEA Mariam" w:hAnsi="GHEA Mariam" w:cs="Sylfaen"/>
          <w:b/>
          <w:sz w:val="18"/>
          <w:szCs w:val="18"/>
          <w:u w:val="single"/>
          <w:lang w:val="en-US"/>
        </w:rPr>
        <w:t>Գարիկի</w:t>
      </w:r>
      <w:r w:rsidR="00C57B31" w:rsidRPr="00C57B3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C57B31">
        <w:rPr>
          <w:rFonts w:ascii="GHEA Mariam" w:hAnsi="GHEA Mariam" w:cs="Sylfaen"/>
          <w:b/>
          <w:sz w:val="18"/>
          <w:szCs w:val="18"/>
          <w:u w:val="single"/>
          <w:lang w:val="en-US"/>
        </w:rPr>
        <w:t>Մակյանին</w:t>
      </w:r>
      <w:r w:rsidR="007D3A15" w:rsidRPr="007D3A15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7D3A15">
        <w:rPr>
          <w:rFonts w:ascii="GHEA Mariam" w:hAnsi="GHEA Mariam" w:cs="Sylfaen"/>
          <w:b/>
          <w:sz w:val="18"/>
          <w:szCs w:val="18"/>
          <w:u w:val="single"/>
          <w:lang w:val="en-US"/>
        </w:rPr>
        <w:t>և</w:t>
      </w:r>
      <w:r w:rsidR="000123EA" w:rsidRPr="000123EA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123EA">
        <w:rPr>
          <w:rFonts w:ascii="GHEA Mariam" w:hAnsi="GHEA Mariam" w:cs="Sylfaen"/>
          <w:b/>
          <w:sz w:val="18"/>
          <w:szCs w:val="18"/>
          <w:u w:val="single"/>
          <w:lang w:val="en-US"/>
        </w:rPr>
        <w:t>Շուշան</w:t>
      </w:r>
      <w:r w:rsidR="000123EA" w:rsidRPr="005073CE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123EA">
        <w:rPr>
          <w:rFonts w:ascii="GHEA Mariam" w:hAnsi="GHEA Mariam" w:cs="Sylfaen"/>
          <w:b/>
          <w:sz w:val="18"/>
          <w:szCs w:val="18"/>
          <w:u w:val="single"/>
          <w:lang w:val="en-US"/>
        </w:rPr>
        <w:t>Ռուդոլֆի</w:t>
      </w:r>
      <w:r w:rsidR="000123EA" w:rsidRPr="005073CE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123EA">
        <w:rPr>
          <w:rFonts w:ascii="GHEA Mariam" w:hAnsi="GHEA Mariam" w:cs="Sylfaen"/>
          <w:b/>
          <w:sz w:val="18"/>
          <w:szCs w:val="18"/>
          <w:u w:val="single"/>
          <w:lang w:val="en-US"/>
        </w:rPr>
        <w:t>Աբրահամյան</w:t>
      </w:r>
      <w:r w:rsidR="007D3A15">
        <w:rPr>
          <w:rFonts w:ascii="GHEA Mariam" w:hAnsi="GHEA Mariam" w:cs="Sylfaen"/>
          <w:b/>
          <w:sz w:val="18"/>
          <w:szCs w:val="18"/>
          <w:u w:val="single"/>
          <w:lang w:val="en-US"/>
        </w:rPr>
        <w:t>ին</w:t>
      </w:r>
      <w:r w:rsidR="00784AAC" w:rsidRPr="00784AAC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784AAC" w:rsidRPr="00784AAC">
        <w:rPr>
          <w:rFonts w:ascii="GHEA Mariam" w:hAnsi="GHEA Mariam" w:cs="Sylfaen"/>
          <w:b/>
          <w:sz w:val="18"/>
          <w:szCs w:val="18"/>
          <w:u w:val="single"/>
        </w:rPr>
        <w:t xml:space="preserve">Կոտայքի մարզ համայնք Բյուրեղավան քաղաք Բյուրեղավան  </w:t>
      </w:r>
      <w:r w:rsidR="00C57B31">
        <w:rPr>
          <w:rFonts w:ascii="GHEA Mariam" w:hAnsi="GHEA Mariam" w:cs="Sylfaen"/>
          <w:b/>
          <w:sz w:val="18"/>
          <w:szCs w:val="18"/>
          <w:u w:val="single"/>
          <w:lang w:val="en-US"/>
        </w:rPr>
        <w:t>Զորավար</w:t>
      </w:r>
      <w:r w:rsidR="00C57B31" w:rsidRPr="00C57B3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C57B31">
        <w:rPr>
          <w:rFonts w:ascii="GHEA Mariam" w:hAnsi="GHEA Mariam" w:cs="Sylfaen"/>
          <w:b/>
          <w:sz w:val="18"/>
          <w:szCs w:val="18"/>
          <w:u w:val="single"/>
          <w:lang w:val="en-US"/>
        </w:rPr>
        <w:t>Անդրանիկի</w:t>
      </w:r>
      <w:r w:rsidR="00784AAC" w:rsidRPr="00784AAC">
        <w:rPr>
          <w:rFonts w:ascii="GHEA Mariam" w:hAnsi="GHEA Mariam" w:cs="Sylfaen"/>
          <w:b/>
          <w:sz w:val="18"/>
          <w:szCs w:val="18"/>
          <w:u w:val="single"/>
        </w:rPr>
        <w:t xml:space="preserve"> փողոց </w:t>
      </w:r>
      <w:r w:rsidR="00C57B31" w:rsidRPr="00C57B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46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շենք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11018B" w:rsidRPr="0011018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C57B31" w:rsidRPr="00C57B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43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բնակարան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</w:t>
      </w:r>
      <w:r w:rsidR="009771B0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,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</w:t>
      </w:r>
      <w:r w:rsidR="0067476B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. </w:t>
      </w:r>
      <w:r w:rsidR="00C57B31" w:rsidRPr="00C57B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094500537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</w:t>
      </w:r>
      <w:r w:rsidR="000123EA" w:rsidRPr="000123E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</w:t>
      </w:r>
    </w:p>
    <w:p w14:paraId="582ED6DA" w14:textId="77777777"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հեռախոսահամարը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էլեկտրոնային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հասցեն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17F55E50" w14:textId="77777777" w:rsidR="00EC55CE" w:rsidRPr="005C39A4" w:rsidRDefault="0037132E" w:rsidP="0037132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տրամադրման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հիմքը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սեփականաության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5C39A4" w:rsidRPr="005C39A4">
        <w:rPr>
          <w:rFonts w:ascii="GHEA Mariam" w:hAnsi="GHEA Mariam" w:cs="Sylfaen"/>
          <w:b/>
          <w:sz w:val="18"/>
          <w:szCs w:val="18"/>
          <w:u w:val="single"/>
        </w:rPr>
        <w:t xml:space="preserve"> վկայական N15072019-07-0045</w:t>
      </w:r>
      <w:r w:rsidR="00955F15" w:rsidRPr="00955F15">
        <w:rPr>
          <w:rFonts w:ascii="Arial Unicode" w:eastAsia="Times New Roman" w:hAnsi="Arial Unicode"/>
          <w:b/>
          <w:color w:val="000000"/>
          <w:sz w:val="18"/>
          <w:szCs w:val="18"/>
          <w:u w:val="single"/>
          <w:lang w:eastAsia="ru-RU"/>
        </w:rPr>
        <w:t>,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5C39A4" w:rsidRPr="005C39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984"/>
      </w:tblGrid>
      <w:tr w:rsidR="00EC55CE" w:rsidRPr="00635CDB" w14:paraId="47439C95" w14:textId="77777777" w:rsidTr="0031307C">
        <w:trPr>
          <w:tblCellSpacing w:w="7" w:type="dxa"/>
        </w:trPr>
        <w:tc>
          <w:tcPr>
            <w:tcW w:w="4937" w:type="dxa"/>
            <w:shd w:val="clear" w:color="auto" w:fill="FFFFFF"/>
            <w:vAlign w:val="center"/>
            <w:hideMark/>
          </w:tcPr>
          <w:p w14:paraId="3B2FD2DE" w14:textId="77777777"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96C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963" w:type="dxa"/>
            <w:shd w:val="clear" w:color="auto" w:fill="FFFFFF"/>
            <w:vAlign w:val="center"/>
            <w:hideMark/>
          </w:tcPr>
          <w:p w14:paraId="34B96425" w14:textId="77777777"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կառուցապատման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նպատակով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</w:p>
        </w:tc>
      </w:tr>
    </w:tbl>
    <w:p w14:paraId="07DAE25D" w14:textId="77777777" w:rsidR="0031307C" w:rsidRPr="00C36531" w:rsidRDefault="0037132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կառուցապատման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հայտ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հողամասի</w:t>
      </w:r>
      <w:r w:rsidR="00955F15" w:rsidRP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հատակագիծ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օբյեկտի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առաջարկվող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տեղանշմամբ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</w:t>
      </w:r>
      <w:r w:rsidR="00076C7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էսքիզային</w:t>
      </w:r>
      <w:r w:rsidR="00076C74" w:rsidRPr="00A3377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76C7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076C74" w:rsidRPr="00A3377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,</w:t>
      </w:r>
      <w:r w:rsidR="0031307C"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</w:t>
      </w:r>
    </w:p>
    <w:p w14:paraId="732AC247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կարգով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տրամադրման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հաստատող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անհրաժեշտ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փաստաթղթերը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14:paraId="4A6C1C59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 գործողության ժամկետը</w:t>
      </w:r>
      <w:r w:rsidRPr="00EC55C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6047"/>
      </w:tblGrid>
      <w:tr w:rsidR="00EC55CE" w:rsidRPr="00EC55CE" w14:paraId="149D8F03" w14:textId="77777777" w:rsidTr="00EC55CE">
        <w:trPr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14:paraId="3088543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14:paraId="7914235D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(N 1 հավելվածի 32-րդ կետին համապատասխան)</w:t>
            </w:r>
          </w:p>
        </w:tc>
      </w:tr>
    </w:tbl>
    <w:p w14:paraId="7B84330A" w14:textId="77777777"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</w:p>
    <w:p w14:paraId="19A6F561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ՆԱԽԱԳԾՎՈՂ ՀՈՂԱՄԱՍԻ ԲՆՈՒԹԱԳԻՐԸ</w:t>
      </w:r>
    </w:p>
    <w:p w14:paraId="35204FB3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14:paraId="339E481D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5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7209"/>
      </w:tblGrid>
      <w:tr w:rsidR="00A7186F" w:rsidRPr="00791039" w14:paraId="69A53AA8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5A416251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1. Հողամասը գտնվում է</w:t>
            </w:r>
          </w:p>
        </w:tc>
        <w:tc>
          <w:tcPr>
            <w:tcW w:w="7448" w:type="dxa"/>
            <w:shd w:val="clear" w:color="auto" w:fill="FFFFFF"/>
            <w:hideMark/>
          </w:tcPr>
          <w:p w14:paraId="196598D7" w14:textId="77777777" w:rsidR="00EC55CE" w:rsidRPr="00857EA2" w:rsidRDefault="00A7186F" w:rsidP="007D2B5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Բնակավայրերի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նպատակային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նշանակության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 w:rsidR="007D2B51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բնակելի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43193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առուցապատման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հողամաս</w:t>
            </w:r>
            <w:r w:rsidR="00367CC1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եր</w:t>
            </w:r>
            <w:r w:rsidR="00C87EC6" w:rsidRPr="00C87EC6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 w:rsidR="00EA0C3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Բյուրեղավան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քաղաքի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Բնակավայրերի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նպատակային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նշ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. </w:t>
            </w:r>
            <w:r w:rsidR="00EA0C3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հողեր</w:t>
            </w:r>
            <w:r w:rsidR="00857EA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</w:t>
            </w:r>
          </w:p>
        </w:tc>
      </w:tr>
      <w:tr w:rsidR="00A7186F" w:rsidRPr="00791039" w14:paraId="31D2D3F7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02C834F9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55A4E42F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դ</w:t>
            </w:r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իրքը քաղաքաշինական միջավայրում,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 նպատակային և գործառնական</w:t>
            </w:r>
            <w:r w:rsidR="00312F51" w:rsidRP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նշանակությունը)</w:t>
            </w:r>
          </w:p>
        </w:tc>
      </w:tr>
      <w:tr w:rsidR="00A7186F" w:rsidRPr="00791039" w14:paraId="35ADBDCE" w14:textId="77777777" w:rsidTr="002326C0">
        <w:trPr>
          <w:trHeight w:val="69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001A8300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1420496E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14:paraId="4D41849D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5575C8F" w14:textId="77777777" w:rsidR="00EC55CE" w:rsidRPr="00A3377F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2. (*) Հողամասի չափերը</w:t>
            </w:r>
          </w:p>
        </w:tc>
        <w:tc>
          <w:tcPr>
            <w:tcW w:w="7448" w:type="dxa"/>
            <w:shd w:val="clear" w:color="auto" w:fill="FFFFFF"/>
            <w:hideMark/>
          </w:tcPr>
          <w:p w14:paraId="6386CC5D" w14:textId="77777777" w:rsidR="00A3377F" w:rsidRPr="00DB6799" w:rsidRDefault="00EC55CE" w:rsidP="002B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</w:pPr>
            <w:r w:rsidRPr="00A3377F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eastAsia="ru-RU"/>
              </w:rPr>
              <w:t>_</w:t>
            </w:r>
            <w:r w:rsidR="00817FB2" w:rsidRPr="00A3377F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0.</w:t>
            </w:r>
            <w:r w:rsidR="007D2B51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1</w:t>
            </w:r>
            <w:r w:rsidR="00817FB2" w:rsidRPr="00A3377F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հա</w:t>
            </w:r>
            <w:r w:rsidR="00817FB2" w:rsidRPr="00A3377F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. </w:t>
            </w:r>
            <w:r w:rsidR="00817FB2" w:rsidRPr="00A3377F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07-0</w:t>
            </w:r>
            <w:r w:rsidR="004A431E" w:rsidRPr="004A431E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03</w:t>
            </w:r>
            <w:r w:rsidR="00817FB2" w:rsidRPr="00A3377F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-0</w:t>
            </w:r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</w:t>
            </w:r>
            <w:r w:rsidR="007D2B51" w:rsidRPr="007D2B5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40</w:t>
            </w:r>
            <w:r w:rsidR="00817FB2" w:rsidRPr="00A3377F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-00</w:t>
            </w:r>
            <w:r w:rsidR="007D2B51" w:rsidRPr="007D2B5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68</w:t>
            </w:r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>____</w:t>
            </w:r>
            <w:r w:rsidR="007D2B51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</w:t>
            </w:r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>___________________</w:t>
            </w:r>
            <w:r w:rsidR="00D426D3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</w:t>
            </w:r>
          </w:p>
          <w:p w14:paraId="455AF3A3" w14:textId="77777777" w:rsidR="00EC55CE" w:rsidRPr="00A3377F" w:rsidRDefault="007D2B51" w:rsidP="00D6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       </w:t>
            </w:r>
            <w:r w:rsidR="002326C0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     </w:t>
            </w:r>
            <w:r w:rsidR="00D426D3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5E688A4" wp14:editId="7814B0A0">
                  <wp:extent cx="939125" cy="1515474"/>
                  <wp:effectExtent l="0" t="2540" r="0" b="0"/>
                  <wp:docPr id="4" name="Рисунок 4" descr="D:\Old files\Disk C-old\Desktop\DANIEL\New Folder\VOROSHUM\2013-14 -15-16-2017-2018-2019 VOROSHUM\ARAGADRANQ\2019\N16 MAKYAN Mօվսես տւն\74159815_610806979455581_49063096251978874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ld files\Disk C-old\Desktop\DANIEL\New Folder\VOROSHUM\2013-14 -15-16-2017-2018-2019 VOROSHUM\ARAGADRANQ\2019\N16 MAKYAN Mօվսես տւն\74159815_610806979455581_49063096251978874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40001" cy="151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CC8DB0B" wp14:editId="508804A5">
                  <wp:extent cx="939978" cy="1494591"/>
                  <wp:effectExtent l="8572" t="0" r="2223" b="2222"/>
                  <wp:docPr id="3" name="Рисунок 3" descr="D:\Old files\Disk C-old\Desktop\DANIEL\New Folder\VOROSHUM\2013-14 -15-16-2017-2018-2019 VOROSHUM\ARAGADRANQ\2019\N16 MAKYAN Mօվսես տւն\74162359_2363975347264559_32337209835630100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 files\Disk C-old\Desktop\DANIEL\New Folder\VOROSHUM\2013-14 -15-16-2017-2018-2019 VOROSHUM\ARAGADRANQ\2019\N16 MAKYAN Mօվսես տւն\74162359_2363975347264559_32337209835630100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42669" cy="149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6C0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E7DE4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A3377F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  <w:tr w:rsidR="00A7186F" w:rsidRPr="00791039" w14:paraId="2D6A7854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589510D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5FF74DA4" w14:textId="77777777"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սահմանները՝ կոորդինատային նշահարմամբ, մակերեսը (հա)</w:t>
            </w:r>
          </w:p>
        </w:tc>
      </w:tr>
      <w:tr w:rsidR="00A7186F" w:rsidRPr="00791039" w14:paraId="5BB4B426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896E9A2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3. Հողամասի առկա վիճակը</w:t>
            </w:r>
          </w:p>
        </w:tc>
        <w:tc>
          <w:tcPr>
            <w:tcW w:w="7448" w:type="dxa"/>
            <w:shd w:val="clear" w:color="auto" w:fill="FFFFFF"/>
            <w:hideMark/>
          </w:tcPr>
          <w:p w14:paraId="008DD1C2" w14:textId="77777777" w:rsidR="00EC55CE" w:rsidRPr="00980D86" w:rsidRDefault="00EC55CE" w:rsidP="002B0FF9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</w:t>
            </w:r>
            <w:r w:rsidR="00791039" w:rsidRPr="009D17A6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="00791039"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անբարեկարգ</w:t>
            </w:r>
            <w:r w:rsidR="00791039"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</w:t>
            </w:r>
            <w:r w:rsidR="00791039"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տարածք</w:t>
            </w:r>
            <w:r w:rsidR="00980D86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</w:t>
            </w:r>
            <w:r w:rsidR="00980D8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</w:t>
            </w:r>
          </w:p>
        </w:tc>
      </w:tr>
      <w:tr w:rsidR="00A7186F" w:rsidRPr="00791039" w14:paraId="721C29D2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3E700A3F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6B45DC2A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բնութագիրը, շենքերի (այդ թվում` քանդման ենթակ</w:t>
            </w:r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ա) առկայությունը (օգտագործումը,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նշանակությունը, հարկայնությունը, շինարարական նյութերը և այլն), կանաչապատումը, բարեկարգումը և այլն)</w:t>
            </w:r>
          </w:p>
        </w:tc>
      </w:tr>
      <w:tr w:rsidR="00A7186F" w:rsidRPr="00791039" w14:paraId="7058C5C3" w14:textId="77777777" w:rsidTr="00D94C9D">
        <w:trPr>
          <w:trHeight w:val="43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3D7D5327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0BEBCE5F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14:paraId="643BB0CD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18A7ACF9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4. (*) Տրանսպորտային պայմանները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14:paraId="73A38BEB" w14:textId="77777777" w:rsidR="00EC55CE" w:rsidRPr="00EC55CE" w:rsidRDefault="00EC55CE" w:rsidP="00857EA2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համայնքային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նշանակության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,</w:t>
            </w:r>
            <w:r w:rsidR="00857EA2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                                 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A7186F" w:rsidRPr="00791039" w14:paraId="2FBC58A4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0FAA12E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0A065375" w14:textId="77777777"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(ճանապարհների առկայությունը, երկաթուղային տրանսպորտի մոտեցումները և այլն)</w:t>
            </w:r>
          </w:p>
        </w:tc>
      </w:tr>
      <w:tr w:rsidR="00A7186F" w:rsidRPr="00791039" w14:paraId="03ED0686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7A15AB3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34217E0A" w14:textId="77777777" w:rsidR="00EC55CE" w:rsidRPr="00C57B31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7CDC0D70" w14:textId="77777777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372001B2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5. (*) Ինժ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եներական ցանցեր և</w:t>
            </w:r>
            <w:r w:rsidR="00D62CDD" w:rsidRPr="00D62CD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սարքավորումներ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(ջրամատակարարման,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կոյուղու,</w:t>
            </w:r>
            <w:r w:rsidRPr="00791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գազամատակարարման, տաք ջրի մատակարարման, էլեկտրամատակարարման, էլեկտրոնային հաղորդակցության համակարգեր)</w:t>
            </w:r>
          </w:p>
        </w:tc>
        <w:tc>
          <w:tcPr>
            <w:tcW w:w="7448" w:type="dxa"/>
            <w:shd w:val="clear" w:color="auto" w:fill="FFFFFF"/>
            <w:vAlign w:val="bottom"/>
          </w:tcPr>
          <w:p w14:paraId="61EDDA49" w14:textId="77777777" w:rsidR="00EC55CE" w:rsidRPr="00627FB7" w:rsidRDefault="007C32D0" w:rsidP="00DB6799">
            <w:pPr>
              <w:spacing w:after="100" w:afterAutospacing="1" w:line="240" w:lineRule="auto"/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հարակից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տարածքով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անցնող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ստորգետնյա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մալուխ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ջրագիծ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կոյուղագիծ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 </w:t>
            </w:r>
            <w:r w:rsidRPr="00EC55CE"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  <w:t>էլեկտրամատակարարման,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էլեկտրոնային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հաղորդակցության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համակարգեր</w:t>
            </w:r>
            <w:r w:rsidR="00DB6799" w:rsidRP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գազամատակարարման</w:t>
            </w:r>
            <w:r w:rsidR="00DB6799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համակարգ</w:t>
            </w:r>
            <w:r w:rsidR="00857EA2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62CDD" w:rsidRPr="00D62CD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____________________________</w:t>
            </w:r>
            <w:r w:rsidR="00690E9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</w:t>
            </w:r>
          </w:p>
        </w:tc>
      </w:tr>
      <w:tr w:rsidR="007C32D0" w:rsidRPr="00791039" w14:paraId="6372375E" w14:textId="77777777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20FC899C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</w:tcPr>
          <w:p w14:paraId="1337EC55" w14:textId="77777777" w:rsidR="00EC55CE" w:rsidRPr="00EC55CE" w:rsidRDefault="007C32D0" w:rsidP="00C32D54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(նախագծվող հողամասով կամ կից տարածքով անցնող ինժեներական ենթակառուցվածքները, այդ թվում` ստորգետնյա)</w:t>
            </w:r>
          </w:p>
        </w:tc>
      </w:tr>
      <w:tr w:rsidR="007C32D0" w:rsidRPr="00791039" w14:paraId="31E23F2F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2FC2FDB9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668C5D40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6234A3D6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4F9ECD3C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6. (*) Կից հողամասեր</w:t>
            </w:r>
          </w:p>
        </w:tc>
        <w:tc>
          <w:tcPr>
            <w:tcW w:w="7448" w:type="dxa"/>
            <w:shd w:val="clear" w:color="auto" w:fill="FFFFFF"/>
            <w:hideMark/>
          </w:tcPr>
          <w:p w14:paraId="1A344480" w14:textId="77777777" w:rsidR="00EC55CE" w:rsidRPr="00EC55CE" w:rsidRDefault="007C32D0" w:rsidP="00186EC2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FE718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ային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սեփականության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հող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r w:rsidRPr="00FB0BED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Pr="00FB0BED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186EC2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3D51AC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</w:p>
        </w:tc>
      </w:tr>
      <w:tr w:rsidR="007C32D0" w:rsidRPr="00791039" w14:paraId="0D936F00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187E3192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3C4065F0" w14:textId="77777777"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(կից հողօգտագործումների անվանումը և դրանց սահմանները՝ համաձայն ներկայացված սխեմայի)</w:t>
            </w:r>
          </w:p>
        </w:tc>
      </w:tr>
      <w:tr w:rsidR="007C32D0" w:rsidRPr="00791039" w14:paraId="11B1AA50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C15F910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2200BF25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5F3913E6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7DF778E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7. Բնության հատուկ պահպանվող և (կամ) պատմամշակութային հուշարձանների տարածքներ (պահպանական գոտիներ)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14:paraId="02FA8125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Pr="003D51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-----------------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7C32D0" w:rsidRPr="00791039" w14:paraId="795851CA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2BBD45E2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172ECC17" w14:textId="77777777"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(հուշարձանի անվանումը, կարգավիճակը և այլն)</w:t>
            </w:r>
          </w:p>
        </w:tc>
      </w:tr>
      <w:tr w:rsidR="007C32D0" w:rsidRPr="00791039" w14:paraId="256587D2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4C469E81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4C3B98E6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197C3E51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43185C14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8. (*) Հատակագծային սահմանափակումներ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14:paraId="18914E79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3D51AC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նախագիծը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մշակել համաձայն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տրված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առաջադրանքի</w:t>
            </w:r>
          </w:p>
        </w:tc>
      </w:tr>
      <w:tr w:rsidR="007C32D0" w:rsidRPr="00791039" w14:paraId="1724BFDE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4E6F7268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2484D67A" w14:textId="77777777"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(տեղանքում գործող արտադրական, պաշտպանվող օբյեկտների, ինժեներատրանսպորտային ենթակառուցվածքների և այլ օբյեկտների նկատմամբ սահմանափակումները, այդ թվում՝ սերվիտուտները)</w:t>
            </w:r>
          </w:p>
        </w:tc>
      </w:tr>
    </w:tbl>
    <w:p w14:paraId="77E16E4D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E518B31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ՆԱԽԱԳԾԱՅԻՆ ՊԱՀԱՆՋՆԵՐԸ</w:t>
      </w:r>
    </w:p>
    <w:p w14:paraId="39559D29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14:paraId="247AF6E0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08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444"/>
        <w:gridCol w:w="720"/>
      </w:tblGrid>
      <w:tr w:rsidR="001A2674" w:rsidRPr="00EC55CE" w14:paraId="7480C4A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C5DC612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 Ճարտարապետահատակագծային պահանջներ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54845A15" w14:textId="77777777" w:rsidR="00EC55CE" w:rsidRPr="00CC2A8B" w:rsidRDefault="001A2674" w:rsidP="00CC2A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ղեկավարվել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ՀՀ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գործող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նորմերին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միջավայրի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պայամնների</w:t>
            </w:r>
            <w:r w:rsidR="00DB6799" w:rsidRPr="00DB679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,</w:t>
            </w:r>
            <w:r w:rsidR="00FE1749"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հաշվի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առնել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միջավայրի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քաղաքաշինական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առանձնահատկությունները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հատակագծային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լուծումները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ըստ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պատվիրատուի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առաջադրանքի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գույն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RGB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RAL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159-51-33 3016 49/31980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՝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ըստ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միասնական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պահանջներ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սահմանող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ուղեցույցի</w:t>
            </w:r>
            <w:r w:rsidR="00BC6C3E" w:rsidRPr="00CC2A8B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>,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կառուցվող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վերաբերյալ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   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տարածքւմ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տեղադրել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ինֆորմացիոն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վահանակ</w:t>
            </w:r>
            <w:r w:rsidR="00CC2A8B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CC2A8B" w:rsidRPr="00CC2A8B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_____________</w:t>
            </w:r>
          </w:p>
        </w:tc>
      </w:tr>
      <w:tr w:rsidR="001A2674" w:rsidRPr="00EC55CE" w14:paraId="59946698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B04F92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58D76040" w14:textId="77777777" w:rsidR="00EC55CE" w:rsidRPr="00EC55CE" w:rsidRDefault="00EC55CE" w:rsidP="001A2674">
            <w:pPr>
              <w:spacing w:before="100" w:beforeAutospacing="1" w:after="100" w:afterAutospacing="1" w:line="240" w:lineRule="auto"/>
              <w:ind w:hanging="132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(ելնելով Հայաստանի Հանրապետության օրենսդրության և նորմատիվատեխնիկական փաստաթղթերի պահանջներից, առկա քաղաքաշինական ծրագրային փաստաթղթերի դրույթներից կամ դրանց բացակայության դեպքում՝ կազմավորված (կազմավորվող) քաղաքաշինական միջավայրի պայմաններից</w:t>
            </w:r>
            <w:r w:rsidR="00635CDB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ձևավորման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համամասնությունների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գունային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11EFB33F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D30ABEA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F3FE98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E680FD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3BC3661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9.1. (*) օբյեկտի հեռավորությունը կարմիր գծից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567EED72" w14:textId="77777777" w:rsidR="00EC55CE" w:rsidRPr="00EC55CE" w:rsidRDefault="001A2674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Ապահովել փողոցի կառուցապատման գիծը</w:t>
            </w:r>
          </w:p>
        </w:tc>
      </w:tr>
      <w:tr w:rsidR="001A2674" w:rsidRPr="00EC55CE" w14:paraId="1B56D15A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933CA3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2E1CBD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0FA5764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CAA2B08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9.2. (*) հեռավորությունը հարևան հողակտորներից (օբյեկտներից)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5741BABB" w14:textId="77777777" w:rsidR="00EC55CE" w:rsidRPr="00EC55CE" w:rsidRDefault="00EC55CE" w:rsidP="00DB679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DB6799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------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</w:t>
            </w:r>
            <w:r w:rsidR="00955F15"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____________________</w:t>
            </w:r>
          </w:p>
        </w:tc>
      </w:tr>
      <w:tr w:rsidR="001A2674" w:rsidRPr="00EC55CE" w14:paraId="395FF0A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9B702D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5CF4E0C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C270DD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09F557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9.3. թույլատրելի բարձրությունը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6B9F5FB2" w14:textId="77777777" w:rsidR="00EC55CE" w:rsidRPr="007B0F24" w:rsidRDefault="00EC55CE" w:rsidP="007B0F2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սահմանային հարկայնության բարձրությունը գերազանցող շենքերի և շինությունների նախագծման դեպքում` ՀՀՇՆ II-6.02-2006 «Սեյսմակայուն շինարարություն. Նախագծման նորմեր» շինարարական նորմերով սահմանված պահանջների ապահովում (հատուկ հաշվարկային մեթոդներ, սեյսմակայունության բարձրացման</w:t>
            </w:r>
            <w:r w:rsidRPr="005364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br/>
              <w:t>միջոցառումներ և այլն)</w:t>
            </w:r>
            <w:r w:rsidR="001A2674" w:rsidRPr="001A2674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1A2674" w:rsidRPr="001A2674">
              <w:rPr>
                <w:rFonts w:ascii="Arial Unicode" w:eastAsia="Times New Roman" w:hAnsi="Arial Unicode" w:cs="Times New Roman"/>
                <w:b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բնակելի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տան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բարձրությունը՝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շենք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6.0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. 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միջև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տանիք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8.9</w:t>
            </w:r>
            <w:r w:rsidR="001A2674" w:rsidRPr="00627FB7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., 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ավտոտնակ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3.2</w:t>
            </w:r>
            <w:r w:rsid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</w:t>
            </w:r>
            <w:r w:rsidR="007B0F24" w:rsidRPr="007B0F2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., </w:t>
            </w:r>
          </w:p>
        </w:tc>
      </w:tr>
      <w:tr w:rsidR="001A2674" w:rsidRPr="00EC55CE" w14:paraId="3140C8C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14B241C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AB51DB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4A7A91B5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D63139F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9.4. կառուցապատման խտության գործակիցը (կառույցի (կառույցների) ընդհանուր մակերեսի հարաբերությունը հողամասի մակերեսին)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7CF47D5F" w14:textId="77777777" w:rsidR="00EC55CE" w:rsidRPr="00EC55CE" w:rsidRDefault="00EC55CE" w:rsidP="0078290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1A2674" w:rsidRPr="00007F6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մինչև </w:t>
            </w:r>
            <w:r w:rsidR="0078290F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0.24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1A2674" w:rsidRPr="00EC55CE" w14:paraId="5546CA0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B34B1A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0F9153C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25E07DE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7C19A95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9.5. կառուցապատման տոկոսը (կառուցապատվող (անջրանցիկ)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7953FB66" w14:textId="77777777" w:rsidR="00EC55CE" w:rsidRPr="00EC55CE" w:rsidRDefault="00EC55CE" w:rsidP="0078290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  <w:r w:rsidR="001C201D" w:rsidRPr="001C201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մինջև </w:t>
            </w:r>
            <w:r w:rsidR="0078290F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24</w:t>
            </w:r>
            <w:r w:rsidR="001C201D" w:rsidRPr="00E90065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%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1A2674" w:rsidRPr="00EC55CE" w14:paraId="7BD177E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049E41A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DC0783D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729F381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DF0C3A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9.6. կանաչապատման տոկոսը (կանաչապատ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088F0AD5" w14:textId="77777777" w:rsidR="00EC55CE" w:rsidRPr="007035D8" w:rsidRDefault="00EC55CE" w:rsidP="0078290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="00BE7DE4" w:rsidRPr="001C201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մինջև </w:t>
            </w:r>
            <w:r w:rsidR="0078290F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76</w:t>
            </w:r>
            <w:r w:rsidR="00BE7DE4" w:rsidRPr="00E90065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%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7035D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</w:t>
            </w:r>
          </w:p>
        </w:tc>
      </w:tr>
      <w:tr w:rsidR="001A2674" w:rsidRPr="00EC55CE" w14:paraId="3497D00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137925C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2BF6C2B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3DFE52EE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F145A36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9.7. այլ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14:paraId="0AD58FE7" w14:textId="77777777" w:rsidR="00EC55CE" w:rsidRPr="00700B6A" w:rsidRDefault="007035D8" w:rsidP="007D155B">
            <w:pPr>
              <w:suppressAutoHyphens/>
              <w:ind w:right="-90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</w:t>
            </w:r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տարածքում տեղադրել ինֆորմացիոն վահանակ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</w:t>
            </w:r>
          </w:p>
        </w:tc>
      </w:tr>
      <w:tr w:rsidR="001A2674" w:rsidRPr="00EC55CE" w14:paraId="4CA740E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0C04F4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CAE0FF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1B6C641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771FDB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10. Հողամասում գտնվող շենքերի ու շինությունների քանդման կամ տեղափոխման (ապամոնտաժման) պայմանները և աշխատանքների հերթականությունը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7B20265B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</w:t>
            </w:r>
            <w:r w:rsidRPr="000A0E8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>______</w:t>
            </w:r>
            <w:r w:rsidR="00140288" w:rsidRPr="000A0E8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-----------</w:t>
            </w:r>
            <w:r w:rsidRPr="000A0E8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>_____________________________</w:t>
            </w:r>
          </w:p>
        </w:tc>
      </w:tr>
      <w:tr w:rsidR="001A2674" w:rsidRPr="00EC55CE" w14:paraId="3FD0101D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847FFDA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D2F049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49A8196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C06FABC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11. Ստորգետնյա, կիսանկուղի և առաջին հարկերի տարածքների օգտագործման պայմանները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22CDBBB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1A2674" w:rsidRPr="00EC55CE" w14:paraId="6A18FF6C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0E352C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BEC0F7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4F80050F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C0BB3D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 (*) Ինժեներական ցանցեր և սարքավորումներ</w:t>
            </w:r>
          </w:p>
        </w:tc>
        <w:tc>
          <w:tcPr>
            <w:tcW w:w="7430" w:type="dxa"/>
            <w:shd w:val="clear" w:color="auto" w:fill="FFFFFF"/>
            <w:hideMark/>
          </w:tcPr>
          <w:p w14:paraId="48001920" w14:textId="77777777" w:rsidR="00EC55CE" w:rsidRPr="0053642D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Պահանջներ՝ գոյություն ունեցող և նախագծվող ենթակառուցվածքների ու ցանցերի նկատմամբ</w:t>
            </w:r>
            <w:r w:rsidR="00140288" w:rsidRPr="00140288">
              <w:rPr>
                <w:rFonts w:ascii="Arial Unicode" w:eastAsia="Times New Roman" w:hAnsi="Arial Unicode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համաձայնեցնել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իրավասու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կազմակերպությունների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հետ</w:t>
            </w:r>
          </w:p>
          <w:p w14:paraId="46D0B36C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14:paraId="2F13565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D4EED9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57FD64DD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2674" w:rsidRPr="00EC55CE" w14:paraId="6C28BF0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13E327B6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12.1. (*) ջրամատակարարում, կոյուղի, տաք ջրի 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14:paraId="0C773322" w14:textId="77777777" w:rsidR="00140288" w:rsidRPr="00140288" w:rsidRDefault="00EC55CE" w:rsidP="00140288">
            <w:pPr>
              <w:pStyle w:val="Heading2"/>
              <w:shd w:val="clear" w:color="auto" w:fill="FFFFFF"/>
              <w:spacing w:before="0" w:beforeAutospacing="0" w:after="0" w:afterAutospacing="0" w:line="345" w:lineRule="atLeast"/>
              <w:textAlignment w:val="baseline"/>
              <w:rPr>
                <w:rFonts w:ascii="Arian AMU" w:hAnsi="Arian AMU" w:cs="Arian AMU"/>
                <w:color w:val="000000"/>
                <w:sz w:val="27"/>
                <w:szCs w:val="27"/>
              </w:rPr>
            </w:pPr>
            <w:r w:rsidRPr="00EC55CE">
              <w:rPr>
                <w:rFonts w:ascii="Arial Unicode" w:hAnsi="Arial Unicode"/>
                <w:b w:val="0"/>
                <w:color w:val="000000"/>
                <w:sz w:val="18"/>
                <w:szCs w:val="18"/>
              </w:rPr>
              <w:t>Կցվում է</w:t>
            </w:r>
            <w:r w:rsidRPr="00EC55CE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="00140288" w:rsidRPr="00140288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 </w:t>
            </w:r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«ՎԵՈԼԻԱ ՋՈՒՐ» փակ բաժնետիրական ընկերություն</w:t>
            </w:r>
          </w:p>
          <w:p w14:paraId="53F153CD" w14:textId="77777777" w:rsidR="00EC55CE" w:rsidRPr="00EC55CE" w:rsidRDefault="0014028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14:paraId="3B5CE964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723479E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62358C86" w14:textId="77777777" w:rsidR="00EC55CE" w:rsidRPr="00EC55CE" w:rsidRDefault="00EC55CE" w:rsidP="00EC55CE">
            <w:pPr>
              <w:spacing w:after="0" w:line="240" w:lineRule="auto"/>
              <w:ind w:left="112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14:paraId="73A52BCF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6726CB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EC12B4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28396F1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228EA42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12.2. (*) էլեկտրամատակարարում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14:paraId="553D357A" w14:textId="77777777" w:rsidR="00EC55CE" w:rsidRPr="00EC55CE" w:rsidRDefault="00EC55CE" w:rsidP="0014028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8B1D42" w:rsidRPr="00B12535">
              <w:rPr>
                <w:b/>
                <w:sz w:val="18"/>
                <w:szCs w:val="18"/>
                <w:u w:val="single"/>
              </w:rPr>
              <w:t>_«</w:t>
            </w:r>
            <w:r w:rsidR="008B1D42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ՀԷՑ</w:t>
            </w:r>
            <w:r w:rsidR="008B1D42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B1D42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B1D42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ՓԲԸ,</w:t>
            </w:r>
            <w:r w:rsidR="008B1D42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B1D42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«</w:t>
            </w:r>
            <w:r w:rsidR="008B1D42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ԽՍՍ</w:t>
            </w:r>
            <w:r w:rsidR="008B1D42" w:rsidRPr="00B869EE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» </w:t>
            </w:r>
            <w:r w:rsidR="008B1D42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տնօրինության</w:t>
            </w:r>
            <w:r w:rsidR="008B1D42" w:rsidRPr="00B869EE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B1D42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«</w:t>
            </w:r>
            <w:r w:rsidR="008B1D42"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Նաիրի</w:t>
            </w:r>
            <w:r w:rsidR="008B1D4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B1D42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_էլեկտրական ցանցեր</w:t>
            </w:r>
            <w:r w:rsidR="008B1D42" w:rsidRPr="00A6199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644876" w:rsidRPr="00A6199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_________________________________________________</w:t>
            </w:r>
          </w:p>
        </w:tc>
      </w:tr>
      <w:tr w:rsidR="001A2674" w:rsidRPr="00EC55CE" w14:paraId="27F503A4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3E66F90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0F6B71AF" w14:textId="77777777"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14:paraId="5C2F5FE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D9985D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05B06C1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7057677C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207E3D6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12.3. (*) գազամատակարարում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14:paraId="2606DCF5" w14:textId="77777777" w:rsidR="00EC55CE" w:rsidRPr="00C66B88" w:rsidRDefault="00EC55CE" w:rsidP="008D004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8D004A" w:rsidRPr="00B12535">
              <w:rPr>
                <w:b/>
                <w:sz w:val="18"/>
                <w:szCs w:val="18"/>
                <w:u w:val="single"/>
              </w:rPr>
              <w:t>_«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Գազպրոմ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Արմենիա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Աբովյանի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ԳԳՄ</w:t>
            </w:r>
            <w:r w:rsidR="008D004A" w:rsidRPr="00C66B8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1A2674" w:rsidRPr="00EC55CE" w14:paraId="3B8101E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642A00F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3A7527B4" w14:textId="77777777"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14:paraId="368CA4B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F32C8C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A4CFCD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719B939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4C96D2F2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12.4. (*) էլեկտրոնային հաղորդակցության մալուխատար կոյուղու (ներառյալ դիտահորը) տեղադիրքը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5127740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 է _________________________________________</w:t>
            </w:r>
            <w:r w:rsidR="00A6199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</w:t>
            </w:r>
          </w:p>
        </w:tc>
      </w:tr>
      <w:tr w:rsidR="001A2674" w:rsidRPr="00EC55CE" w14:paraId="6BEB82B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7879567A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61F76BB2" w14:textId="77777777"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N 1 հավելվածի 57-րդ կետի 2-րդ ենթակետով սահմանված ելակետային տվյալների)</w:t>
            </w:r>
          </w:p>
        </w:tc>
      </w:tr>
      <w:tr w:rsidR="001A2674" w:rsidRPr="00EC55CE" w14:paraId="14A82E34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502E51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B1BCD8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01EA7E1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3012DE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12.5. թույլ հոսանքներ</w:t>
            </w:r>
          </w:p>
        </w:tc>
        <w:tc>
          <w:tcPr>
            <w:tcW w:w="7430" w:type="dxa"/>
            <w:shd w:val="clear" w:color="auto" w:fill="FFFFFF"/>
            <w:hideMark/>
          </w:tcPr>
          <w:p w14:paraId="2F4B96F2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 ___________________________________________</w:t>
            </w:r>
          </w:p>
        </w:tc>
      </w:tr>
      <w:tr w:rsidR="001A2674" w:rsidRPr="00EC55CE" w14:paraId="7B78151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BF3C00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711987B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304248F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8CD7083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12.6. աղբահանություն</w:t>
            </w:r>
          </w:p>
        </w:tc>
        <w:tc>
          <w:tcPr>
            <w:tcW w:w="7430" w:type="dxa"/>
            <w:shd w:val="clear" w:color="auto" w:fill="FFFFFF"/>
            <w:hideMark/>
          </w:tcPr>
          <w:p w14:paraId="0C62401D" w14:textId="77777777" w:rsidR="00EC55CE" w:rsidRPr="00EC55CE" w:rsidRDefault="00DB6493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Կնքել համապատասխան պայմանագիր աղբահանություն  կազմակերպող  իրվասու կազմակերպության հետ</w:t>
            </w:r>
          </w:p>
        </w:tc>
      </w:tr>
      <w:tr w:rsidR="001A2674" w:rsidRPr="00EC55CE" w14:paraId="561B3758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9F5061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7F67CB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6B4B1E4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D271404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13. Տարածքի ինժեներական նախապատրաստում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0F37D09F" w14:textId="77777777"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3F1B08">
              <w:rPr>
                <w:b/>
                <w:sz w:val="18"/>
                <w:szCs w:val="18"/>
                <w:u w:val="single"/>
              </w:rPr>
              <w:t>«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Բյուրեղավան կանաչապատում և բարեկարգում»  ՀՈԱԿ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կազմակերպել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ջրահեռացում</w:t>
            </w:r>
          </w:p>
        </w:tc>
      </w:tr>
      <w:tr w:rsidR="001A2674" w:rsidRPr="00EC55CE" w14:paraId="5218CADA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BD584AD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094FB67F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կազմակերպման, ջրահեռացման, ինժեներական պաշտպանության միջոցառումները)</w:t>
            </w:r>
          </w:p>
        </w:tc>
      </w:tr>
      <w:tr w:rsidR="001A2674" w:rsidRPr="00EC55CE" w14:paraId="09596BBA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C2AE73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4F3D5A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4A8FA2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686672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14. Բարեկարգում</w:t>
            </w:r>
          </w:p>
        </w:tc>
        <w:tc>
          <w:tcPr>
            <w:tcW w:w="7430" w:type="dxa"/>
            <w:shd w:val="clear" w:color="auto" w:fill="FFFFFF"/>
            <w:hideMark/>
          </w:tcPr>
          <w:p w14:paraId="2D313AC9" w14:textId="77777777"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C27E12"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  <w:t>_</w:t>
            </w:r>
            <w:r w:rsidRPr="00FC2400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հարակից տարածքի մաքրությունը,  կանաչապատումը, բարեկարգումը</w:t>
            </w:r>
          </w:p>
        </w:tc>
      </w:tr>
      <w:tr w:rsidR="001A2674" w:rsidRPr="00EC55CE" w14:paraId="71D074D4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191686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726041F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(լանդշաֆտային պլանավորման վերաբերյալ պահանջները, կանաչապատում, ճարտարապետական փոքր ձևեր, ցանկապատում, գովազդ և այլն)</w:t>
            </w:r>
          </w:p>
        </w:tc>
      </w:tr>
      <w:tr w:rsidR="001A2674" w:rsidRPr="00EC55CE" w14:paraId="7B425F7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51ED4D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AD7FE4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60D8725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C54BC95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15. Շինարարական նյութեր</w:t>
            </w:r>
          </w:p>
        </w:tc>
        <w:tc>
          <w:tcPr>
            <w:tcW w:w="7430" w:type="dxa"/>
            <w:shd w:val="clear" w:color="auto" w:fill="FFFFFF"/>
            <w:hideMark/>
          </w:tcPr>
          <w:p w14:paraId="19D37912" w14:textId="77777777" w:rsidR="00EC55CE" w:rsidRPr="00EC55CE" w:rsidRDefault="00955F15" w:rsidP="00955F1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Քար</w:t>
            </w:r>
            <w:r w:rsidRPr="003F1B08">
              <w:rPr>
                <w:rFonts w:ascii="Sylfaen" w:hAnsi="Sylfaen"/>
                <w:b/>
                <w:sz w:val="18"/>
                <w:szCs w:val="18"/>
                <w:u w:val="single"/>
              </w:rPr>
              <w:t>,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Երկաթ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>/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բետոն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տուֆ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բազալտ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կոպտատաշ</w:t>
            </w:r>
            <w:r w:rsidRPr="00F8251A">
              <w:rPr>
                <w:b/>
                <w:sz w:val="18"/>
                <w:szCs w:val="18"/>
                <w:u w:val="single"/>
              </w:rPr>
              <w:t>_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քար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ե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շար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մետաղ,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ապակի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փայտ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ավազ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թիթեղ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այլն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DB274D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համաձայնեցված</w:t>
            </w:r>
            <w:r w:rsidR="007D155B" w:rsidRPr="007D155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</w:t>
            </w:r>
            <w:r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E35291"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AA4F10"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</w:t>
            </w:r>
          </w:p>
        </w:tc>
      </w:tr>
      <w:tr w:rsidR="001A2674" w:rsidRPr="00EC55CE" w14:paraId="778391BC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AA671E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0E6C9B04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շինարարական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առաջարկությունները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6A365B6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D7ADCB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D726FC3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1B403C3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25DC79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16. Պաշտպանական կառույցներ</w:t>
            </w:r>
          </w:p>
        </w:tc>
        <w:tc>
          <w:tcPr>
            <w:tcW w:w="7430" w:type="dxa"/>
            <w:shd w:val="clear" w:color="auto" w:fill="FFFFFF"/>
            <w:hideMark/>
          </w:tcPr>
          <w:p w14:paraId="22BF2D79" w14:textId="77777777" w:rsidR="00EC55CE" w:rsidRPr="00EC55CE" w:rsidRDefault="00955F15" w:rsidP="00CC2A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շինարարության ընդացքում ցանկապատել տարածքը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CC2A8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ստեղծել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անհրաժեշտ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պաշտպանական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միջոցներ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</w:t>
            </w:r>
          </w:p>
        </w:tc>
      </w:tr>
      <w:tr w:rsidR="001A2674" w:rsidRPr="00EC55CE" w14:paraId="5B0B811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A53123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2FEE10E9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(արտակարգ իրավիճակներում մարդկանց և օբյեկտների պաշտպանության միջոցառումները)</w:t>
            </w:r>
          </w:p>
        </w:tc>
      </w:tr>
      <w:tr w:rsidR="001A2674" w:rsidRPr="00EC55CE" w14:paraId="0566DD8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363AC3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01D28C8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6A78FCA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64C875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17. Հակահրդեհային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14:paraId="50F1E207" w14:textId="77777777" w:rsidR="00EC55CE" w:rsidRPr="00EC55CE" w:rsidRDefault="00B12535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հակահրդեհային նորմատիվ պահանջները</w:t>
            </w:r>
          </w:p>
        </w:tc>
      </w:tr>
      <w:tr w:rsidR="001A2674" w:rsidRPr="00EC55CE" w14:paraId="36B5236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E80C7BD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D7B8549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(հակահրդեհային անվտանգության ապահովման միջոցառումները)</w:t>
            </w:r>
          </w:p>
        </w:tc>
      </w:tr>
      <w:tr w:rsidR="001A2674" w:rsidRPr="00EC55CE" w14:paraId="7F5CFDDF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E1AFC6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C51F62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33024A9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D844DB2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18. Հաշմանդամների և բնակչության սակավաշարժ խմբերի պաշտպանության միջոցառումներ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47A57EE7" w14:textId="77777777" w:rsidR="00EC55CE" w:rsidRPr="00EC55CE" w:rsidRDefault="00B12535" w:rsidP="006C576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365BE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հաշմանդամների և բնակչության սակավաշարժ խմբերի համար տրանսպորտային ինժիներական ենթակառուցվածքների մատչելիությունը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1A2674" w:rsidRPr="00EC55CE" w14:paraId="4857931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9F3970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0F5FF8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DDF0A9A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2B1A42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19. Շրջակա միջավայրի պահպանում</w:t>
            </w:r>
          </w:p>
        </w:tc>
        <w:tc>
          <w:tcPr>
            <w:tcW w:w="7430" w:type="dxa"/>
            <w:shd w:val="clear" w:color="auto" w:fill="FFFFFF"/>
            <w:hideMark/>
          </w:tcPr>
          <w:p w14:paraId="53F44A9B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չիրականացնել  վտանգաոր միջոցառումներ, որը կթողնի բացասական ազդեցություն շրջակա միջավայրի վրա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ըստ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գործող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նորմերի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</w:t>
            </w:r>
          </w:p>
        </w:tc>
      </w:tr>
      <w:tr w:rsidR="001A2674" w:rsidRPr="00EC55CE" w14:paraId="098941B4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0A69E2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230ECAD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(շրջակա միջավայրը վտանգավոր ազդեցությունից բացառելու միջոցառումները)</w:t>
            </w:r>
          </w:p>
        </w:tc>
      </w:tr>
      <w:tr w:rsidR="001A2674" w:rsidRPr="00EC55CE" w14:paraId="6976DC3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1AA397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2A6B17A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4CF67338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FEA6067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20. Շինարարության կազմակերպում</w:t>
            </w:r>
          </w:p>
        </w:tc>
        <w:tc>
          <w:tcPr>
            <w:tcW w:w="7430" w:type="dxa"/>
            <w:shd w:val="clear" w:color="auto" w:fill="FFFFFF"/>
            <w:hideMark/>
          </w:tcPr>
          <w:p w14:paraId="2D811B06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ճանապարհի երթևեկելի մասում չստեղծել  երթևեկությանը խոչնդոտ հանդիսացող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պայմաններ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______________________________________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</w:t>
            </w:r>
          </w:p>
        </w:tc>
      </w:tr>
      <w:tr w:rsidR="001A2674" w:rsidRPr="00EC55CE" w14:paraId="4C40B37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5AF147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8B1135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(առաջարկություններ շինարարության հետ կապված անբարենպաստ ազդեցության բացառման, քաղաքային տնտեսության և տրանսպորտի անխափան աշխատանքի ապահովման վերաբերյալ)</w:t>
            </w:r>
          </w:p>
        </w:tc>
      </w:tr>
      <w:tr w:rsidR="001A2674" w:rsidRPr="00EC55CE" w14:paraId="6EA1966E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931F6E1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21. Առաջադրանքի գործողության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ժամկետը և նախագծի մշակման փուլերը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3CD91258" w14:textId="77777777" w:rsidR="00EC55CE" w:rsidRPr="002E764B" w:rsidRDefault="0018351D" w:rsidP="00EC55C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764B">
              <w:rPr>
                <w:rFonts w:ascii="GHEA Mariam" w:hAnsi="GHEA Mariam"/>
                <w:b/>
                <w:sz w:val="18"/>
                <w:szCs w:val="18"/>
                <w:u w:val="single"/>
                <w:lang w:val="en-US"/>
              </w:rPr>
              <w:lastRenderedPageBreak/>
              <w:t>_____________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«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Աշխատանքային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նախագիծ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»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 xml:space="preserve"> , 12 (տասներկու)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  <w:lang w:val="en-US"/>
              </w:rPr>
              <w:t>ամիս</w:t>
            </w:r>
          </w:p>
        </w:tc>
      </w:tr>
      <w:tr w:rsidR="0053642D" w:rsidRPr="00EC55CE" w14:paraId="35DDAD9D" w14:textId="77777777" w:rsidTr="00140288">
        <w:trPr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814D95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3" w:type="dxa"/>
            <w:gridSpan w:val="2"/>
            <w:shd w:val="clear" w:color="auto" w:fill="FFFFFF"/>
            <w:hideMark/>
          </w:tcPr>
          <w:p w14:paraId="62E2E7A6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առաջադրանքի գործողության ժամկետը և նախագծի մշակման փուլերը)</w:t>
            </w:r>
          </w:p>
        </w:tc>
      </w:tr>
    </w:tbl>
    <w:p w14:paraId="145A1F81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ԼՐԱՑՈՒՑԻՉ ՊԱՅՄԱՆՆԵՐԸ</w:t>
      </w:r>
    </w:p>
    <w:tbl>
      <w:tblPr>
        <w:tblW w:w="1055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972"/>
      </w:tblGrid>
      <w:tr w:rsidR="00EC55CE" w:rsidRPr="00EC55CE" w14:paraId="63D91599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774591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22. Նախագծային փաստաթղթերի փորձաքննությանը ներկայացվող պահանջներ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5AB4C43C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Հայաստանի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Հանրապետության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2015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թվականի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մարտի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19-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 </w:t>
            </w:r>
            <w:r w:rsidRPr="000E13A0">
              <w:rPr>
                <w:rFonts w:ascii="Arial" w:hAnsi="Arial" w:cs="Arial"/>
                <w:b/>
                <w:sz w:val="18"/>
                <w:szCs w:val="18"/>
                <w:u w:val="single"/>
              </w:rPr>
              <w:t>№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596-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Ն 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որոշմամբ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>_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հաստատված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կարգին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</w:t>
            </w:r>
          </w:p>
        </w:tc>
      </w:tr>
      <w:tr w:rsidR="00EC55CE" w:rsidRPr="00EC55CE" w14:paraId="4C8078C0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1E8CB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21080A51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փորձաքննության տեսակը կամ նախագծողի երաշխավորագիրը` հղում կատարելով համապատասխան իրավական ակտին)</w:t>
            </w:r>
          </w:p>
        </w:tc>
      </w:tr>
      <w:tr w:rsidR="00EC55CE" w:rsidRPr="00EC55CE" w14:paraId="26F06FC8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A547D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1AC2317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77C056C5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FD256B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23. Միջանկյալ համաձայնեցում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3A916AF0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14:paraId="5578FCE0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CDBEC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781B96E6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(իրավասու մարմնի կամ Հայաստանի Հանրապետության օրենսդրությամբ նախատեսված դեպքերում շահագրգիռ մարմինների հետ էսքիզային նախագծի նախնական համաձայնեցում, նշվում է նաև առաջադրանքի փոփոխման հնարավորությունը` N 1 հավելվածի 87-րդ կետով նախատեսված դեպքում)</w:t>
            </w:r>
          </w:p>
        </w:tc>
      </w:tr>
      <w:tr w:rsidR="00EC55CE" w:rsidRPr="00EC55CE" w14:paraId="3E4E2F6F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89F90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5122C78C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4F9A7CAD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7E8C8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24. Հասարակական քննարկումներ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09E27476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ՀՀ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1998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թվականի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հոկտեմբերի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28-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ի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թիվ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660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որոշման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պահանջների </w:t>
            </w:r>
            <w:r w:rsidRPr="0018351D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__________________________________________________________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համաձայն</w:t>
            </w:r>
          </w:p>
        </w:tc>
      </w:tr>
      <w:tr w:rsidR="00EC55CE" w:rsidRPr="00EC55CE" w14:paraId="4E3A3129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ADE05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4D83A412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դեպքերում և կարգով)</w:t>
            </w:r>
          </w:p>
        </w:tc>
      </w:tr>
      <w:tr w:rsidR="00EC55CE" w:rsidRPr="00EC55CE" w14:paraId="6554D2EA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7CDDF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365B3D8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5A5C2451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22C378C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25. Համաձայնեցումների կամ մասնագիտական եզրակացությունների ստացում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755BB5D8" w14:textId="77777777" w:rsidR="00EC55CE" w:rsidRPr="00EC55CE" w:rsidRDefault="0018351D" w:rsidP="00C66B8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18351D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նախագիծը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համաձայնեցնել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Բյուրեղավանի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="00C66B88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համայնքապետարանի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հետ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և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ինժեներական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տեղափոխման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անհրաժեշտության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դեպքում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պայմանների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վերաբերյալ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համաձայնություն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ձեռք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բեր</w:t>
            </w:r>
            <w:r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ել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տվյալ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սեփականատիրոջ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(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օգտագործողի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) </w:t>
            </w:r>
            <w:r w:rsidR="00EC03BD" w:rsidRPr="00EC03BD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հետ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`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մինչև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նախագծային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աշխատանքներն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սկսելը</w:t>
            </w:r>
            <w:r w:rsidR="00EC03BD" w:rsidRPr="000D0160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___________________</w:t>
            </w:r>
            <w:r w:rsidRPr="00124985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softHyphen/>
            </w:r>
          </w:p>
        </w:tc>
      </w:tr>
      <w:tr w:rsidR="00EC55CE" w:rsidRPr="00EC55CE" w14:paraId="4868A2F7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BEA2A2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015F8471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տվյալ օբյեկտի համաձայնեցման՝ օրենքով սահմանված պահանջները՝ հուշարձանների ու բնության պահպանության և այլ լիազորված մարմինների հետ, ինչպես նաև N 1 հավելվածի 56-րդ կետով սահմանված դեպքերում` ինժեներական ենթակառուցվածքի սեփականատիրոջ (օգտագործողի) հետ)</w:t>
            </w:r>
          </w:p>
        </w:tc>
      </w:tr>
      <w:tr w:rsidR="00EC55CE" w:rsidRPr="00EC55CE" w14:paraId="004A721D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40B53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5A761D2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460FCAE9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3087470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26. Փոստային բաժանորդային պահարանների տեղադրում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3667C57B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14:paraId="24BE13AE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6E8349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75359C6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5C32321A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05C238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27. Այլ պայմաններ</w:t>
            </w:r>
          </w:p>
        </w:tc>
        <w:tc>
          <w:tcPr>
            <w:tcW w:w="7951" w:type="dxa"/>
            <w:shd w:val="clear" w:color="auto" w:fill="FFFFFF"/>
            <w:hideMark/>
          </w:tcPr>
          <w:p w14:paraId="16F8A72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</w:tbl>
    <w:p w14:paraId="0CB8F799" w14:textId="77777777" w:rsid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EFF6E7E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183E9D4F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3525A8C1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00C7D1C7" w14:textId="77777777" w:rsidR="008645BC" w:rsidRPr="00EC55CE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0CC774B8" w14:textId="77777777" w:rsidR="003E69C8" w:rsidRDefault="00EC55CE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ՀԱՅԱՍՏԱՆԻ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ՀԱՆՐԱՊԵՏՈՒԹՅԱՆ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ԿՈՏԱՅՔԻ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ՄԱՐԶԻ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ԲՅՈՒՐԵՂԱՎԱՆ</w:t>
      </w:r>
      <w:r w:rsidRPr="00C96CA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ՀԱՄԱՅՆՔԻ</w:t>
      </w:r>
      <w:r w:rsidR="003E69C8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ՂԵԿԱՎԱՐ</w:t>
      </w:r>
      <w:r w:rsidRPr="00C96CA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14:paraId="5AD57DE0" w14:textId="77777777" w:rsidR="008645BC" w:rsidRP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14:paraId="4B4AE735" w14:textId="77777777" w:rsidR="00EC55CE" w:rsidRPr="00EC55CE" w:rsidRDefault="003E69C8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                                                                         </w:t>
      </w:r>
      <w:r w:rsidR="00EC55CE" w:rsidRPr="00EC55CE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>_______________________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Հ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 xml:space="preserve">.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ԲԱԼԱՍՅԱՆ</w:t>
      </w:r>
      <w:r w:rsidR="00EC55CE" w:rsidRPr="00EC55CE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>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8805"/>
      </w:tblGrid>
      <w:tr w:rsidR="003E69C8" w:rsidRPr="00EC55CE" w14:paraId="7CF7F905" w14:textId="77777777" w:rsidTr="00EC55CE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14:paraId="1394C2E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14:paraId="4D061247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9C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                                                   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(ստորագրությունը, անունը, ազգանունը)</w:t>
            </w:r>
          </w:p>
        </w:tc>
      </w:tr>
    </w:tbl>
    <w:p w14:paraId="50191CBE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6E707C76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6C63BA18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48E7150B" w14:textId="77777777" w:rsid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641F173E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17CB93F8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77F860E4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0EA9F5D4" w14:textId="77777777"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2948882E" w14:textId="77777777"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5E9D0F19" w14:textId="77777777"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4A590960" w14:textId="77777777"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54C972CD" w14:textId="77777777"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4F4614E3" w14:textId="77777777" w:rsidR="008645BC" w:rsidRP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4E9C3051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58F663D3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Կ. Տ.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              </w:t>
      </w:r>
      <w:r w:rsidR="005D4E59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.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ԴԱՆԻԵԼՅԱՆ</w:t>
      </w:r>
    </w:p>
    <w:p w14:paraId="7F606BAB" w14:textId="77777777" w:rsidR="00522838" w:rsidRPr="00FC14EB" w:rsidRDefault="00522838" w:rsidP="00522838">
      <w:pPr>
        <w:pStyle w:val="NormalWeb"/>
        <w:spacing w:before="0" w:beforeAutospacing="0" w:after="0" w:afterAutospacing="0"/>
        <w:rPr>
          <w:rFonts w:ascii="Sylfaen" w:hAnsi="Sylfaen" w:cs="Sylfaen"/>
          <w:sz w:val="16"/>
          <w:szCs w:val="16"/>
        </w:rPr>
      </w:pPr>
      <w:r>
        <w:rPr>
          <w:lang w:val="en-US"/>
        </w:rPr>
        <w:t xml:space="preserve">                                  </w:t>
      </w:r>
      <w:r w:rsidR="008645BC" w:rsidRPr="00522838">
        <w:t xml:space="preserve"> </w:t>
      </w:r>
      <w:r>
        <w:rPr>
          <w:rFonts w:ascii="Sylfaen" w:hAnsi="Sylfaen" w:cs="Sylfaen"/>
          <w:sz w:val="16"/>
          <w:szCs w:val="16"/>
          <w:lang w:val="en-US"/>
        </w:rPr>
        <w:t>հեռ</w:t>
      </w:r>
      <w:r w:rsidRPr="00FC14EB">
        <w:rPr>
          <w:rFonts w:ascii="Sylfaen" w:hAnsi="Sylfaen" w:cs="Sylfaen"/>
          <w:sz w:val="16"/>
          <w:szCs w:val="16"/>
        </w:rPr>
        <w:t>. 0222 6 52 03</w:t>
      </w:r>
    </w:p>
    <w:p w14:paraId="310F6D0B" w14:textId="77777777" w:rsidR="001B1C47" w:rsidRPr="00522838" w:rsidRDefault="001B1C47"/>
    <w:sectPr w:rsidR="001B1C47" w:rsidRPr="00522838" w:rsidSect="000A0E8D">
      <w:pgSz w:w="11906" w:h="16838"/>
      <w:pgMar w:top="993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5CE"/>
    <w:rsid w:val="00007F65"/>
    <w:rsid w:val="000123EA"/>
    <w:rsid w:val="000508E7"/>
    <w:rsid w:val="00074202"/>
    <w:rsid w:val="00076C74"/>
    <w:rsid w:val="000A0E8D"/>
    <w:rsid w:val="000D0160"/>
    <w:rsid w:val="000F02B7"/>
    <w:rsid w:val="001034E6"/>
    <w:rsid w:val="001043D0"/>
    <w:rsid w:val="0011018B"/>
    <w:rsid w:val="00140288"/>
    <w:rsid w:val="0018351D"/>
    <w:rsid w:val="00186EC2"/>
    <w:rsid w:val="001A2674"/>
    <w:rsid w:val="001B1C47"/>
    <w:rsid w:val="001C201D"/>
    <w:rsid w:val="002326C0"/>
    <w:rsid w:val="002B0FF9"/>
    <w:rsid w:val="002B43F0"/>
    <w:rsid w:val="002D2D23"/>
    <w:rsid w:val="002E764B"/>
    <w:rsid w:val="00312F51"/>
    <w:rsid w:val="0031307C"/>
    <w:rsid w:val="00362CA9"/>
    <w:rsid w:val="00367CC1"/>
    <w:rsid w:val="0037132E"/>
    <w:rsid w:val="003D51AC"/>
    <w:rsid w:val="003E69C8"/>
    <w:rsid w:val="004155CF"/>
    <w:rsid w:val="004A431E"/>
    <w:rsid w:val="004D3A6F"/>
    <w:rsid w:val="004E56B3"/>
    <w:rsid w:val="004F18FB"/>
    <w:rsid w:val="00522838"/>
    <w:rsid w:val="0053642D"/>
    <w:rsid w:val="00595680"/>
    <w:rsid w:val="005C2BF3"/>
    <w:rsid w:val="005C39A4"/>
    <w:rsid w:val="005D4E59"/>
    <w:rsid w:val="005D6D9A"/>
    <w:rsid w:val="005E780C"/>
    <w:rsid w:val="0061524A"/>
    <w:rsid w:val="00627FB7"/>
    <w:rsid w:val="00635CDB"/>
    <w:rsid w:val="00644876"/>
    <w:rsid w:val="0067476B"/>
    <w:rsid w:val="00690E92"/>
    <w:rsid w:val="006A52A4"/>
    <w:rsid w:val="006C576E"/>
    <w:rsid w:val="00700B6A"/>
    <w:rsid w:val="007035D8"/>
    <w:rsid w:val="0078290F"/>
    <w:rsid w:val="007832F5"/>
    <w:rsid w:val="00784AAC"/>
    <w:rsid w:val="00791039"/>
    <w:rsid w:val="007B0F24"/>
    <w:rsid w:val="007B3284"/>
    <w:rsid w:val="007C32D0"/>
    <w:rsid w:val="007D155B"/>
    <w:rsid w:val="007D2B51"/>
    <w:rsid w:val="007D3A15"/>
    <w:rsid w:val="00804239"/>
    <w:rsid w:val="00817FB2"/>
    <w:rsid w:val="00857EA2"/>
    <w:rsid w:val="008645BC"/>
    <w:rsid w:val="0087419B"/>
    <w:rsid w:val="008A55AC"/>
    <w:rsid w:val="008B1D42"/>
    <w:rsid w:val="008D004A"/>
    <w:rsid w:val="008F695C"/>
    <w:rsid w:val="009041C4"/>
    <w:rsid w:val="009072D4"/>
    <w:rsid w:val="00952606"/>
    <w:rsid w:val="00955F15"/>
    <w:rsid w:val="009771B0"/>
    <w:rsid w:val="00980D86"/>
    <w:rsid w:val="009D17A6"/>
    <w:rsid w:val="009E2DC9"/>
    <w:rsid w:val="00A3377F"/>
    <w:rsid w:val="00A3535B"/>
    <w:rsid w:val="00A61998"/>
    <w:rsid w:val="00A7186F"/>
    <w:rsid w:val="00A7624B"/>
    <w:rsid w:val="00AA4F10"/>
    <w:rsid w:val="00B12535"/>
    <w:rsid w:val="00B12FFD"/>
    <w:rsid w:val="00BB2706"/>
    <w:rsid w:val="00BC6C3E"/>
    <w:rsid w:val="00BE7DE4"/>
    <w:rsid w:val="00BF3E55"/>
    <w:rsid w:val="00C000A0"/>
    <w:rsid w:val="00C36531"/>
    <w:rsid w:val="00C574A0"/>
    <w:rsid w:val="00C57B31"/>
    <w:rsid w:val="00C66B88"/>
    <w:rsid w:val="00C87EC6"/>
    <w:rsid w:val="00C96CAD"/>
    <w:rsid w:val="00CA0153"/>
    <w:rsid w:val="00CB671A"/>
    <w:rsid w:val="00CC01DB"/>
    <w:rsid w:val="00CC2A8B"/>
    <w:rsid w:val="00CF1DA6"/>
    <w:rsid w:val="00D00BBD"/>
    <w:rsid w:val="00D426D3"/>
    <w:rsid w:val="00D62CDD"/>
    <w:rsid w:val="00D94C9D"/>
    <w:rsid w:val="00DA3F1F"/>
    <w:rsid w:val="00DB274D"/>
    <w:rsid w:val="00DB6493"/>
    <w:rsid w:val="00DB6799"/>
    <w:rsid w:val="00DC30DF"/>
    <w:rsid w:val="00DE36BF"/>
    <w:rsid w:val="00E050EA"/>
    <w:rsid w:val="00E0639B"/>
    <w:rsid w:val="00E34CFF"/>
    <w:rsid w:val="00E35291"/>
    <w:rsid w:val="00E37758"/>
    <w:rsid w:val="00E43193"/>
    <w:rsid w:val="00E6682D"/>
    <w:rsid w:val="00EA0C3B"/>
    <w:rsid w:val="00EC03BD"/>
    <w:rsid w:val="00EC10A8"/>
    <w:rsid w:val="00EC55CE"/>
    <w:rsid w:val="00EC5A3B"/>
    <w:rsid w:val="00F55784"/>
    <w:rsid w:val="00F87E44"/>
    <w:rsid w:val="00FB0BED"/>
    <w:rsid w:val="00FC1742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EFC5"/>
  <w15:docId w15:val="{C847B613-80BC-4E75-8F66-9FD43879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DefaultParagraphFont"/>
    <w:rsid w:val="00EC55CE"/>
  </w:style>
  <w:style w:type="paragraph" w:styleId="BalloonText">
    <w:name w:val="Balloon Text"/>
    <w:basedOn w:val="Normal"/>
    <w:link w:val="BalloonTextChar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AAFA-B948-4D05-9140-BFFDBDEC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113</cp:revision>
  <cp:lastPrinted>2020-10-16T08:42:00Z</cp:lastPrinted>
  <dcterms:created xsi:type="dcterms:W3CDTF">2017-12-18T12:27:00Z</dcterms:created>
  <dcterms:modified xsi:type="dcterms:W3CDTF">2020-10-16T13:33:00Z</dcterms:modified>
</cp:coreProperties>
</file>