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27047" w:rsidRPr="0002704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106 ԵՎ 109  ԲՆԱԿԱՐԱՆՆԵՐԸ ԳԱԼՅԱ ՎՈԼՈԴՅԱՅԻ ՉՈՓՈՒՌՅԱՆԻՆ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7441AC" w:rsidRP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441AC">
        <w:rPr>
          <w:rFonts w:ascii="GHEA Mariam" w:eastAsia="Times New Roman" w:hAnsi="GHEA Mariam" w:cs="Sylfaen"/>
          <w:lang w:val="hy-AM" w:eastAsia="en-US"/>
        </w:rPr>
        <w:t xml:space="preserve">    </w:t>
      </w: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զբաղվող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4-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027047">
        <w:rPr>
          <w:rFonts w:ascii="GHEA Mariam" w:eastAsia="Times New Roman" w:hAnsi="GHEA Mariam" w:cs="Sylfaen"/>
          <w:lang w:val="hy-AM" w:eastAsia="en-US"/>
        </w:rPr>
        <w:t xml:space="preserve"> 114 և 117</w:t>
      </w:r>
      <w:r w:rsidR="00070928" w:rsidRPr="004E55D1">
        <w:rPr>
          <w:rFonts w:ascii="Calibri" w:eastAsia="Times New Roman" w:hAnsi="Calibri" w:cs="Calibri"/>
          <w:lang w:val="hy-AM" w:eastAsia="en-US"/>
        </w:rPr>
        <w:t> 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սենյակների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շենքի </w:t>
      </w:r>
      <w:r w:rsidR="00027047">
        <w:rPr>
          <w:rFonts w:ascii="GHEA Mariam" w:eastAsia="Times New Roman" w:hAnsi="GHEA Mariam" w:cs="Sylfaen"/>
          <w:lang w:val="hy-AM" w:eastAsia="en-US"/>
        </w:rPr>
        <w:t>106 և 109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027047">
        <w:rPr>
          <w:rFonts w:ascii="GHEA Mariam" w:eastAsia="Times New Roman" w:hAnsi="GHEA Mariam" w:cs="Sylfaen"/>
          <w:lang w:val="hy-AM" w:eastAsia="en-US"/>
        </w:rPr>
        <w:t>ներ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027047">
        <w:rPr>
          <w:rFonts w:ascii="GHEA Mariam" w:eastAsia="Times New Roman" w:hAnsi="GHEA Mariam" w:cs="Sylfaen"/>
          <w:lang w:val="hy-AM" w:eastAsia="en-US"/>
        </w:rPr>
        <w:t>Գալյա Վոլոդյայի Չոփուռյանի 2020 թվականի փետրվարի 06</w:t>
      </w:r>
      <w:r w:rsidRPr="004E55D1">
        <w:rPr>
          <w:rFonts w:ascii="GHEA Mariam" w:eastAsia="Times New Roman" w:hAnsi="GHEA Mariam" w:cs="Sylfaen"/>
          <w:lang w:val="hy-AM" w:eastAsia="en-US"/>
        </w:rPr>
        <w:t>-ի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027047">
        <w:rPr>
          <w:rFonts w:ascii="GHEA Mariam" w:eastAsia="Times New Roman" w:hAnsi="GHEA Mariam" w:cs="Sylfaen"/>
          <w:lang w:val="hy-AM" w:eastAsia="en-US"/>
        </w:rPr>
        <w:t>106 և 109</w:t>
      </w:r>
      <w:r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027047">
        <w:rPr>
          <w:rFonts w:ascii="GHEA Mariam" w:eastAsia="Times New Roman" w:hAnsi="GHEA Mariam" w:cs="Sylfaen"/>
          <w:lang w:val="hy-AM" w:eastAsia="en-US"/>
        </w:rPr>
        <w:t>ներ</w:t>
      </w:r>
      <w:r>
        <w:rPr>
          <w:rFonts w:ascii="GHEA Mariam" w:eastAsia="Times New Roman" w:hAnsi="GHEA Mariam" w:cs="Sylfaen"/>
          <w:lang w:val="hy-AM" w:eastAsia="en-US"/>
        </w:rPr>
        <w:t xml:space="preserve">ը </w:t>
      </w:r>
      <w:r w:rsidR="00027047">
        <w:rPr>
          <w:rFonts w:ascii="GHEA Mariam" w:eastAsia="Times New Roman" w:hAnsi="GHEA Mariam" w:cs="Sylfaen"/>
          <w:lang w:val="hy-AM" w:eastAsia="en-US"/>
        </w:rPr>
        <w:t>Գալյա Վոլոդյայի Չոփուռյանի</w:t>
      </w:r>
      <w:r w:rsidR="00027047">
        <w:rPr>
          <w:rFonts w:ascii="GHEA Mariam" w:eastAsia="Times New Roman" w:hAnsi="GHEA Mariam" w:cs="Sylfaen"/>
          <w:lang w:val="hy-AM" w:eastAsia="en-US"/>
        </w:rPr>
        <w:t xml:space="preserve">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:rsidR="00B62C6D" w:rsidRDefault="003A51D6" w:rsidP="004E55D1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="005B675B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5B675B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4E55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4E55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4E55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4E55D1">
        <w:rPr>
          <w:rFonts w:ascii="GHEA Mariam" w:hAnsi="GHEA Mariam" w:cs="Sylfaen"/>
          <w:sz w:val="22"/>
          <w:szCs w:val="22"/>
          <w:lang w:val="hy-AM"/>
        </w:rPr>
        <w:t>,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:rsidR="004E55D1" w:rsidRPr="004E55D1" w:rsidRDefault="004E55D1" w:rsidP="004E55D1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:rsidR="00B62C6D" w:rsidRPr="00B62C6D" w:rsidRDefault="00070928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070928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 xml:space="preserve"> </w:t>
      </w:r>
      <w:r w:rsidR="00B62C6D"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:rsidR="00B62C6D" w:rsidRPr="00B62C6D" w:rsidRDefault="00014DA9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070928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 </w:t>
      </w:r>
      <w:r w:rsidR="00B62C6D"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:rsidR="00B62C6D" w:rsidRPr="00B62C6D" w:rsidRDefault="00070928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 </w:t>
      </w:r>
      <w:r w:rsidR="00B62C6D"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:rsidR="004E55D1" w:rsidRPr="004E55D1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Pr="004E55D1">
        <w:rPr>
          <w:rFonts w:ascii="GHEA Mariam" w:hAnsi="GHEA Mariam" w:cs="Sylfaen"/>
          <w:lang w:val="hy-AM"/>
        </w:rPr>
        <w:t xml:space="preserve">), </w:t>
      </w:r>
    </w:p>
    <w:p w:rsidR="007441AC" w:rsidRPr="007441AC" w:rsidRDefault="00B62C6D" w:rsidP="007441A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հիմք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GHEA Mariam"/>
          <w:lang w:val="hy-AM" w:eastAsia="en-US"/>
        </w:rPr>
        <w:t>ֆոնդի</w:t>
      </w:r>
      <w:r w:rsidR="00070928" w:rsidRPr="00070928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070928" w:rsidRPr="00070928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GHEA Mariam"/>
          <w:lang w:val="hy-AM" w:eastAsia="en-US"/>
        </w:rPr>
        <w:t>ոչ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070928" w:rsidRPr="00070928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GHEA Mariam"/>
          <w:lang w:val="hy-AM" w:eastAsia="en-US"/>
        </w:rPr>
        <w:t>բնակելի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070928" w:rsidRPr="00070928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Pr="004E55D1">
        <w:rPr>
          <w:rFonts w:ascii="Calibri" w:eastAsia="Times New Roman" w:hAnsi="Calibri" w:cs="Calibri"/>
          <w:lang w:val="hy-AM" w:eastAsia="en-US"/>
        </w:rPr>
        <w:t>  </w:t>
      </w:r>
      <w:r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7441AC" w:rsidRPr="007441AC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7441AC" w:rsidRPr="007441AC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հանձնաժողովի առաջարկությունը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</w:t>
      </w:r>
      <w:r w:rsidR="00027047">
        <w:rPr>
          <w:rFonts w:ascii="GHEA Mariam" w:eastAsia="Times New Roman" w:hAnsi="GHEA Mariam" w:cs="Sylfaen"/>
          <w:lang w:val="hy-AM" w:eastAsia="en-US"/>
        </w:rPr>
        <w:t xml:space="preserve">Գալյա Վոլոդյայի Չոփուռյանի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Օղակաձև փողոց </w:t>
      </w:r>
      <w:r w:rsidR="007441AC">
        <w:rPr>
          <w:rFonts w:ascii="GHEA Mariam" w:eastAsia="Times New Roman" w:hAnsi="GHEA Mariam" w:cs="Sylfaen"/>
          <w:lang w:val="hy-AM" w:eastAsia="en-US"/>
        </w:rPr>
        <w:br/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50 շենքի 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15.88 քմ ընդհանուր մակերեսով 106 բնակարանը</w:t>
      </w:r>
      <w:r w:rsid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027047" w:rsidRPr="00027047">
        <w:rPr>
          <w:rFonts w:ascii="Calibri" w:eastAsia="Times New Roman" w:hAnsi="Calibri" w:cs="Calibri"/>
          <w:lang w:val="hy-AM" w:eastAsia="en-US"/>
        </w:rPr>
        <w:t> 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(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նախկին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4-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րդ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114 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սենյակ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) 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և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027047" w:rsidRPr="00027047">
        <w:rPr>
          <w:rFonts w:ascii="Calibri" w:eastAsia="Times New Roman" w:hAnsi="Calibri" w:cs="Calibri"/>
          <w:lang w:val="hy-AM" w:eastAsia="en-US"/>
        </w:rPr>
        <w:t> 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13.75 քմ ընդհանուր մակերեսով 109 բնակարանը</w:t>
      </w:r>
      <w:r w:rsid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027047" w:rsidRPr="00027047">
        <w:rPr>
          <w:rFonts w:ascii="Calibri" w:eastAsia="Times New Roman" w:hAnsi="Calibri" w:cs="Calibri"/>
          <w:lang w:val="hy-AM" w:eastAsia="en-US"/>
        </w:rPr>
        <w:t> 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(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նախկին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4-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րդ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117 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սենյակ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)</w:t>
      </w:r>
      <w:r w:rsidR="00027047" w:rsidRPr="00027047">
        <w:rPr>
          <w:rFonts w:ascii="Calibri" w:eastAsia="Times New Roman" w:hAnsi="Calibri" w:cs="Calibri"/>
          <w:lang w:val="hy-AM" w:eastAsia="en-US"/>
        </w:rPr>
        <w:t>  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անհատույց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օտարել</w:t>
      </w:r>
      <w:r w:rsidR="00027047" w:rsidRPr="00027047">
        <w:rPr>
          <w:rFonts w:ascii="Calibri" w:eastAsia="Times New Roman" w:hAnsi="Calibri" w:cs="Calibri"/>
          <w:lang w:val="hy-AM" w:eastAsia="en-US"/>
        </w:rPr>
        <w:t> 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(</w:t>
      </w:r>
      <w:r w:rsidR="00027047" w:rsidRPr="00027047">
        <w:rPr>
          <w:rFonts w:ascii="GHEA Mariam" w:eastAsia="Times New Roman" w:hAnsi="GHEA Mariam" w:cs="GHEA Mariam"/>
          <w:lang w:val="hy-AM" w:eastAsia="en-US"/>
        </w:rPr>
        <w:t>նվիրել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)</w:t>
      </w:r>
      <w:r w:rsidR="00027047" w:rsidRPr="00027047">
        <w:rPr>
          <w:rFonts w:ascii="Calibri" w:eastAsia="Times New Roman" w:hAnsi="Calibri" w:cs="Calibri"/>
          <w:lang w:val="hy-AM" w:eastAsia="en-US"/>
        </w:rPr>
        <w:t> </w:t>
      </w:r>
      <w:r w:rsidR="00027047">
        <w:rPr>
          <w:rFonts w:ascii="Calibri" w:eastAsia="Times New Roman" w:hAnsi="Calibri" w:cs="Calibri"/>
          <w:lang w:val="hy-AM" w:eastAsia="en-US"/>
        </w:rPr>
        <w:t xml:space="preserve"> 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Գալյա Վոլոդյայի Չոփուռյանին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որոշումից ծագող գույքային իրավունքների նոտարական ձևակերպման</w:t>
      </w:r>
      <w:r w:rsidR="004E55D1" w:rsidRPr="00027047">
        <w:rPr>
          <w:rFonts w:ascii="Calibri" w:eastAsia="Times New Roman" w:hAnsi="Calibri" w:cs="Calibri"/>
          <w:lang w:val="hy-AM" w:eastAsia="en-US"/>
        </w:rPr>
        <w:t> 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և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պետական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գրանցման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հետ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կապված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վճարների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ու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տուրքերի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վճարումը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կատարվում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027047">
        <w:rPr>
          <w:rFonts w:ascii="GHEA Mariam" w:eastAsia="Times New Roman" w:hAnsi="GHEA Mariam" w:cs="Sylfaen"/>
          <w:lang w:val="hy-AM" w:eastAsia="en-US"/>
        </w:rPr>
        <w:t>է</w:t>
      </w:r>
      <w:r w:rsidR="004E55D1" w:rsidRPr="00027047">
        <w:rPr>
          <w:rFonts w:ascii="Calibri" w:eastAsia="Times New Roman" w:hAnsi="Calibri" w:cs="Calibri"/>
          <w:lang w:val="hy-AM" w:eastAsia="en-US"/>
        </w:rPr>
        <w:t> 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>Գալյա Վոլոդյայի Չոփուռյան</w:t>
      </w:r>
      <w:r w:rsidR="00027047" w:rsidRPr="00027047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կողմից:</w:t>
      </w:r>
    </w:p>
    <w:p w:rsidR="001F3FBB" w:rsidRDefault="00027047" w:rsidP="00821736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055E6E" w:rsidRPr="001F3FBB">
        <w:rPr>
          <w:rFonts w:ascii="GHEA Mariam" w:hAnsi="GHEA Mariam"/>
          <w:lang w:val="hy-AM"/>
        </w:rPr>
        <w:tab/>
      </w:r>
      <w:r w:rsidR="00055E6E"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B06D6B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27047" w:rsidRPr="0002704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106 ԵՎ 109  ԲՆԱԿԱՐԱՆՆԵՐԸ ԳԱԼՅԱ ՎՈԼՈԴՅԱՅԻ ՉՈՓՈՒՌՅԱՆԻՆ ԱՆՀԱՏՈՒՅՑ ՕՏԱՐԵԼՈՒ ՄԱՍԻՆ</w:t>
      </w:r>
      <w:r w:rsidR="007441AC" w:rsidRPr="009F6E15">
        <w:rPr>
          <w:rFonts w:ascii="GHEA Mariam" w:hAnsi="GHEA Mariam"/>
          <w:b/>
          <w:lang w:val="hy-AM"/>
        </w:rPr>
        <w:t xml:space="preserve">»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Օղակաձև փողոց 50 շենքի </w:t>
      </w:r>
      <w:r w:rsidR="00027047">
        <w:rPr>
          <w:rFonts w:ascii="GHEA Mariam" w:hAnsi="GHEA Mariam" w:cs="Sylfaen"/>
          <w:lang w:val="hy-AM"/>
        </w:rPr>
        <w:t>106 և 109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027047">
        <w:rPr>
          <w:rFonts w:ascii="GHEA Mariam" w:hAnsi="GHEA Mariam" w:cs="Sylfaen"/>
          <w:lang w:val="hy-AM"/>
        </w:rPr>
        <w:t>ներ</w:t>
      </w:r>
      <w:r w:rsidR="007441AC" w:rsidRPr="007441AC">
        <w:rPr>
          <w:rFonts w:ascii="GHEA Mariam" w:hAnsi="GHEA Mariam" w:cs="Sylfaen"/>
          <w:lang w:val="hy-AM"/>
        </w:rPr>
        <w:t>ը Գ</w:t>
      </w:r>
      <w:r w:rsidR="00027047">
        <w:rPr>
          <w:rFonts w:ascii="GHEA Mariam" w:hAnsi="GHEA Mariam" w:cs="Sylfaen"/>
          <w:lang w:val="hy-AM"/>
        </w:rPr>
        <w:t>ալյա</w:t>
      </w:r>
      <w:r w:rsidR="007441AC" w:rsidRPr="007441AC">
        <w:rPr>
          <w:rFonts w:ascii="GHEA Mariam" w:hAnsi="GHEA Mariam" w:cs="Sylfaen"/>
          <w:lang w:val="hy-AM"/>
        </w:rPr>
        <w:t xml:space="preserve"> Վ</w:t>
      </w:r>
      <w:r w:rsidR="00027047">
        <w:rPr>
          <w:rFonts w:ascii="GHEA Mariam" w:hAnsi="GHEA Mariam" w:cs="Sylfaen"/>
          <w:lang w:val="hy-AM"/>
        </w:rPr>
        <w:t>ոլոդյայի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027047">
        <w:rPr>
          <w:rFonts w:ascii="GHEA Mariam" w:hAnsi="GHEA Mariam" w:cs="Sylfaen"/>
          <w:lang w:val="hy-AM"/>
        </w:rPr>
        <w:t>Չոփուռյանին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</w:t>
      </w:r>
      <w:bookmarkStart w:id="1" w:name="_GoBack"/>
      <w:bookmarkEnd w:id="1"/>
      <w:r w:rsidRPr="001F3FBB">
        <w:rPr>
          <w:rFonts w:ascii="GHEA Mariam" w:hAnsi="GHEA Mariam"/>
          <w:lang w:val="hy-AM"/>
        </w:rPr>
        <w:t xml:space="preserve">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B62C6D" w:rsidRDefault="00B62C6D" w:rsidP="00CF5C79">
      <w:pPr>
        <w:rPr>
          <w:rFonts w:ascii="GHEA Mariam" w:hAnsi="GHEA Mariam"/>
          <w:lang w:val="hy-AM"/>
        </w:rPr>
      </w:pPr>
    </w:p>
    <w:p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4DA9"/>
    <w:rsid w:val="00026433"/>
    <w:rsid w:val="00027047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2DEB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48</cp:revision>
  <cp:lastPrinted>2020-02-05T11:02:00Z</cp:lastPrinted>
  <dcterms:created xsi:type="dcterms:W3CDTF">2018-11-08T08:37:00Z</dcterms:created>
  <dcterms:modified xsi:type="dcterms:W3CDTF">2020-02-07T13:58:00Z</dcterms:modified>
</cp:coreProperties>
</file>